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566"/>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закупівлі </w:t>
      </w:r>
    </w:p>
    <w:p w:rsidR="00000000" w:rsidDel="00000000" w:rsidP="00000000" w:rsidRDefault="00000000" w:rsidRPr="00000000" w14:paraId="00000002">
      <w:pPr>
        <w:widowControl w:val="0"/>
        <w:ind w:firstLine="566"/>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послуг  з проведення онлайн тренінгів для юристів та психологів щодо підготовки та використання висновку психолога як інструменту доказування у судовій практиці від Благодійного Фонду “Право на Захист”</w:t>
      </w:r>
    </w:p>
    <w:p w:rsidR="00000000" w:rsidDel="00000000" w:rsidP="00000000" w:rsidRDefault="00000000" w:rsidRPr="00000000" w14:paraId="00000003">
      <w:pPr>
        <w:widowControl w:val="0"/>
        <w:ind w:firstLine="566"/>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ind w:firstLine="566"/>
        <w:jc w:val="both"/>
        <w:rPr>
          <w:rFonts w:ascii="Times New Roman" w:cs="Times New Roman" w:eastAsia="Times New Roman" w:hAnsi="Times New Roman"/>
        </w:rPr>
      </w:pPr>
      <w:bookmarkStart w:colFirst="0" w:colLast="0" w:name="_heading=h.m2lclqusxf81" w:id="0"/>
      <w:bookmarkEnd w:id="0"/>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Times New Roman" w:cs="Times New Roman" w:eastAsia="Times New Roman" w:hAnsi="Times New Roman"/>
          <w:b w:val="1"/>
          <w:bCs w:val="1"/>
          <w:rtl w:val="0"/>
        </w:rPr>
        <w:t xml:space="preserve">послуг з проведення онлайн тренінгів за темою</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«Підготовка та використання висновку психолога як інструменту доказування у судовій практиці»</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ind w:firstLine="566"/>
        <w:jc w:val="both"/>
        <w:rPr>
          <w:rFonts w:ascii="Times New Roman" w:cs="Times New Roman" w:eastAsia="Times New Roman" w:hAnsi="Times New Roman"/>
        </w:rPr>
      </w:pPr>
      <w:bookmarkStart w:colFirst="0" w:colLast="0" w:name="_heading=h.cfczp2k4mpa0" w:id="1"/>
      <w:bookmarkEnd w:id="1"/>
      <w:r w:rsidDel="00000000" w:rsidR="00000000" w:rsidRPr="00000000">
        <w:rPr>
          <w:rtl w:val="0"/>
        </w:rPr>
      </w:r>
    </w:p>
    <w:p w:rsidR="00000000" w:rsidDel="00000000" w:rsidP="00000000" w:rsidRDefault="00000000" w:rsidRPr="00000000" w14:paraId="00000006">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Мета </w:t>
      </w:r>
      <w:r w:rsidDel="00000000" w:rsidR="00000000" w:rsidRPr="00000000">
        <w:rPr>
          <w:rFonts w:ascii="Times New Roman" w:cs="Times New Roman" w:eastAsia="Times New Roman" w:hAnsi="Times New Roman"/>
          <w:rtl w:val="0"/>
        </w:rPr>
        <w:t xml:space="preserve">— підвищити якість комплексної допомоги людям, які постраждали від гендерно зумовленого насильства, шляхом розвитку спеціалізованих компетенцій психологів і юристів у підготовці, оцінці та використанні психологічних висновків у судовій практиці.</w:t>
      </w:r>
    </w:p>
    <w:p w:rsidR="00000000" w:rsidDel="00000000" w:rsidP="00000000" w:rsidRDefault="00000000" w:rsidRPr="00000000" w14:paraId="00000007">
      <w:pPr>
        <w:ind w:firstLine="566"/>
        <w:jc w:val="both"/>
        <w:rPr>
          <w:rFonts w:ascii="Times New Roman" w:cs="Times New Roman" w:eastAsia="Times New Roman" w:hAnsi="Times New Roman"/>
        </w:rPr>
      </w:pPr>
      <w:bookmarkStart w:colFirst="0" w:colLast="0" w:name="_heading=h.2601yo1g6sel" w:id="2"/>
      <w:bookmarkEnd w:id="2"/>
      <w:r w:rsidDel="00000000" w:rsidR="00000000" w:rsidRPr="00000000">
        <w:rPr>
          <w:rFonts w:ascii="Times New Roman" w:cs="Times New Roman" w:eastAsia="Times New Roman" w:hAnsi="Times New Roman"/>
          <w:rtl w:val="0"/>
        </w:rPr>
        <w:t xml:space="preserve">Таке навчання допоможе психологам краще документувати психологічні наслідки насильства, фахівцям організацій ефективніше взаємодіяти між собою та використовувати психологічний висновок як ще один дієвий інструмент захисту прав постраждалих. Це не лише підвищує якість комплексного супроводу клієнтів, а й сприяє їхньому доступу до правосуддя. Така навичка є вузькоспеціалізованою компетенцією, якою наразі володіє невелика кількість фахівців в Україні. Розвиток цієї навички дозволить психологам і юристам надавати більш професійну та ефективну підтримку людям, які пережили насильство, а також посилить спроможність команди працювати зі складними випадками, де психологічний висновок може стати важливим елементом захисту прав постраждалої особи.</w:t>
      </w:r>
    </w:p>
    <w:p w:rsidR="00000000" w:rsidDel="00000000" w:rsidP="00000000" w:rsidRDefault="00000000" w:rsidRPr="00000000" w14:paraId="00000008">
      <w:pPr>
        <w:ind w:firstLine="566"/>
        <w:jc w:val="both"/>
        <w:rPr>
          <w:rFonts w:ascii="Times New Roman" w:cs="Times New Roman" w:eastAsia="Times New Roman" w:hAnsi="Times New Roman"/>
        </w:rPr>
      </w:pPr>
      <w:bookmarkStart w:colFirst="0" w:colLast="0" w:name="_heading=h.ki7104mjwhyz" w:id="3"/>
      <w:bookmarkEnd w:id="3"/>
      <w:r w:rsidDel="00000000" w:rsidR="00000000" w:rsidRPr="00000000">
        <w:rPr>
          <w:rtl w:val="0"/>
        </w:rPr>
      </w:r>
    </w:p>
    <w:p w:rsidR="00000000" w:rsidDel="00000000" w:rsidP="00000000" w:rsidRDefault="00000000" w:rsidRPr="00000000" w14:paraId="00000009">
      <w:pPr>
        <w:pStyle w:val="Heading3"/>
        <w:keepNext w:val="0"/>
        <w:keepLines w:val="0"/>
        <w:spacing w:after="0" w:before="0" w:lineRule="auto"/>
        <w:ind w:firstLine="566"/>
        <w:jc w:val="both"/>
        <w:rPr>
          <w:rFonts w:ascii="Times New Roman" w:cs="Times New Roman" w:eastAsia="Times New Roman" w:hAnsi="Times New Roman"/>
          <w:color w:val="000000"/>
          <w:sz w:val="22"/>
          <w:szCs w:val="22"/>
        </w:rPr>
      </w:pPr>
      <w:bookmarkStart w:colFirst="0" w:colLast="0" w:name="_heading=h.f48pz09kg14w" w:id="4"/>
      <w:bookmarkEnd w:id="4"/>
      <w:r w:rsidDel="00000000" w:rsidR="00000000" w:rsidRPr="00000000">
        <w:rPr>
          <w:rFonts w:ascii="Times New Roman" w:cs="Times New Roman" w:eastAsia="Times New Roman" w:hAnsi="Times New Roman"/>
          <w:b w:val="1"/>
          <w:bCs w:val="1"/>
          <w:color w:val="000000"/>
          <w:sz w:val="22"/>
          <w:szCs w:val="22"/>
          <w:rtl w:val="0"/>
        </w:rPr>
        <w:t xml:space="preserve">Формат:</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u w:val="single"/>
          <w:rtl w:val="0"/>
        </w:rPr>
        <w:t xml:space="preserve">Онлайн </w:t>
      </w:r>
      <w:r w:rsidDel="00000000" w:rsidR="00000000" w:rsidRPr="00000000">
        <w:rPr>
          <w:rFonts w:ascii="Times New Roman" w:cs="Times New Roman" w:eastAsia="Times New Roman" w:hAnsi="Times New Roman"/>
          <w:color w:val="000000"/>
          <w:sz w:val="22"/>
          <w:szCs w:val="22"/>
          <w:rtl w:val="0"/>
        </w:rPr>
        <w:t xml:space="preserve">(вебінари та практичні заняття).</w:t>
      </w:r>
    </w:p>
    <w:p w:rsidR="00000000" w:rsidDel="00000000" w:rsidP="00000000" w:rsidRDefault="00000000" w:rsidRPr="00000000" w14:paraId="0000000A">
      <w:pPr>
        <w:pStyle w:val="Heading3"/>
        <w:keepNext w:val="0"/>
        <w:keepLines w:val="0"/>
        <w:spacing w:after="0" w:before="0" w:lineRule="auto"/>
        <w:ind w:firstLine="566"/>
        <w:jc w:val="both"/>
        <w:rPr>
          <w:rFonts w:ascii="Times New Roman" w:cs="Times New Roman" w:eastAsia="Times New Roman" w:hAnsi="Times New Roman"/>
          <w:color w:val="000000"/>
          <w:sz w:val="22"/>
          <w:szCs w:val="22"/>
          <w:highlight w:val="white"/>
        </w:rPr>
      </w:pPr>
      <w:bookmarkStart w:colFirst="0" w:colLast="0" w:name="_heading=h.544p28ry5orz" w:id="5"/>
      <w:bookmarkEnd w:id="5"/>
      <w:r w:rsidDel="00000000" w:rsidR="00000000" w:rsidRPr="00000000">
        <w:rPr>
          <w:rFonts w:ascii="Times New Roman" w:cs="Times New Roman" w:eastAsia="Times New Roman" w:hAnsi="Times New Roman"/>
          <w:b w:val="1"/>
          <w:bCs w:val="1"/>
          <w:color w:val="000000"/>
          <w:sz w:val="22"/>
          <w:szCs w:val="22"/>
          <w:rtl w:val="0"/>
        </w:rPr>
        <w:t xml:space="preserve">Орієнтовні строки проведення:</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u w:val="single"/>
          <w:rtl w:val="0"/>
        </w:rPr>
        <w:t xml:space="preserve">Вересень 2026 р. – листопад 2026 р.</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iCs w:val="1"/>
          <w:color w:val="000000"/>
          <w:sz w:val="20"/>
          <w:szCs w:val="20"/>
          <w:rtl w:val="0"/>
        </w:rPr>
        <w:t xml:space="preserve">є орієнтовними та можуть бути змінені за погодженням із Замовником</w:t>
      </w:r>
      <w:r w:rsidDel="00000000" w:rsidR="00000000" w:rsidRPr="00000000">
        <w:rPr>
          <w:rFonts w:ascii="Times New Roman" w:cs="Times New Roman" w:eastAsia="Times New Roman" w:hAnsi="Times New Roman"/>
          <w:color w:val="000000"/>
          <w:sz w:val="22"/>
          <w:szCs w:val="22"/>
          <w:rtl w:val="0"/>
        </w:rPr>
        <w:t xml:space="preserve">). Період включає підготовку методичних матеріалів та проведення практичних занять. </w:t>
      </w:r>
      <w:r w:rsidDel="00000000" w:rsidR="00000000" w:rsidRPr="00000000">
        <w:rPr>
          <w:rtl w:val="0"/>
        </w:rPr>
      </w:r>
    </w:p>
    <w:p w:rsidR="00000000" w:rsidDel="00000000" w:rsidP="00000000" w:rsidRDefault="00000000" w:rsidRPr="00000000" w14:paraId="0000000B">
      <w:pPr>
        <w:ind w:firstLine="566"/>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Кількість надавачів послуг:</w:t>
      </w:r>
      <w:r w:rsidDel="00000000" w:rsidR="00000000" w:rsidRPr="00000000">
        <w:rPr>
          <w:rFonts w:ascii="Times New Roman" w:cs="Times New Roman" w:eastAsia="Times New Roman" w:hAnsi="Times New Roman"/>
          <w:highlight w:val="white"/>
          <w:rtl w:val="0"/>
        </w:rPr>
        <w:t xml:space="preserve"> в рамках даного тендеру буде відібрано 1 переможця. ( </w:t>
      </w:r>
      <w:r w:rsidDel="00000000" w:rsidR="00000000" w:rsidRPr="00000000">
        <w:rPr>
          <w:rFonts w:ascii="Times New Roman" w:cs="Times New Roman" w:eastAsia="Times New Roman" w:hAnsi="Times New Roman"/>
          <w:highlight w:val="white"/>
          <w:rtl w:val="0"/>
        </w:rPr>
        <w:t xml:space="preserve">може</w:t>
      </w:r>
      <w:r w:rsidDel="00000000" w:rsidR="00000000" w:rsidRPr="00000000">
        <w:rPr>
          <w:rFonts w:ascii="Times New Roman" w:cs="Times New Roman" w:eastAsia="Times New Roman" w:hAnsi="Times New Roman"/>
          <w:highlight w:val="white"/>
          <w:rtl w:val="0"/>
        </w:rPr>
        <w:t xml:space="preserve"> залучати різних експертів/тренерів для виконання окремих компонентів завдання). </w:t>
      </w:r>
    </w:p>
    <w:p w:rsidR="00000000" w:rsidDel="00000000" w:rsidP="00000000" w:rsidRDefault="00000000" w:rsidRPr="00000000" w14:paraId="0000000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підготовку до тренінгу, супровідних матеріалів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D">
      <w:pPr>
        <w:ind w:firstLine="566"/>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Кількість учасників:</w:t>
      </w:r>
      <w:r w:rsidDel="00000000" w:rsidR="00000000" w:rsidRPr="00000000">
        <w:rPr>
          <w:rFonts w:ascii="Times New Roman" w:cs="Times New Roman" w:eastAsia="Times New Roman" w:hAnsi="Times New Roman"/>
          <w:rtl w:val="0"/>
        </w:rPr>
        <w:t xml:space="preserve"> 40-44 фахівців обох напрямків </w:t>
      </w:r>
      <w:r w:rsidDel="00000000" w:rsidR="00000000" w:rsidRPr="00000000">
        <w:rPr>
          <w:rtl w:val="0"/>
        </w:rPr>
      </w:r>
    </w:p>
    <w:p w:rsidR="00000000" w:rsidDel="00000000" w:rsidP="00000000" w:rsidRDefault="00000000" w:rsidRPr="00000000" w14:paraId="0000000E">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Цільова аудиторія: </w:t>
      </w:r>
      <w:r w:rsidDel="00000000" w:rsidR="00000000" w:rsidRPr="00000000">
        <w:rPr>
          <w:rFonts w:ascii="Times New Roman" w:cs="Times New Roman" w:eastAsia="Times New Roman" w:hAnsi="Times New Roman"/>
          <w:rtl w:val="0"/>
        </w:rPr>
        <w:t xml:space="preserve">фахівці партнерів Національного консорціуму PULSE, а саме:</w:t>
      </w:r>
    </w:p>
    <w:p w:rsidR="00000000" w:rsidDel="00000000" w:rsidP="00000000" w:rsidRDefault="00000000" w:rsidRPr="00000000" w14:paraId="0000000F">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юристи (консультанти, адвокати)</w:t>
      </w:r>
    </w:p>
    <w:p w:rsidR="00000000" w:rsidDel="00000000" w:rsidP="00000000" w:rsidRDefault="00000000" w:rsidRPr="00000000" w14:paraId="00000010">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психологи (консультанти, психотерапевти)</w:t>
      </w:r>
    </w:p>
    <w:p w:rsidR="00000000" w:rsidDel="00000000" w:rsidP="00000000" w:rsidRDefault="00000000" w:rsidRPr="00000000" w14:paraId="00000011">
      <w:pPr>
        <w:ind w:firstLine="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Style w:val="Heading2"/>
        <w:keepNext w:val="0"/>
        <w:keepLines w:val="0"/>
        <w:spacing w:after="0" w:before="0" w:lineRule="auto"/>
        <w:jc w:val="both"/>
        <w:rPr>
          <w:rFonts w:ascii="Times New Roman" w:cs="Times New Roman" w:eastAsia="Times New Roman" w:hAnsi="Times New Roman"/>
          <w:sz w:val="22"/>
          <w:szCs w:val="22"/>
        </w:rPr>
      </w:pPr>
      <w:bookmarkStart w:colFirst="0" w:colLast="0" w:name="_heading=h.2xmw1pmlm50n" w:id="6"/>
      <w:bookmarkEnd w:id="6"/>
      <w:r w:rsidDel="00000000" w:rsidR="00000000" w:rsidRPr="00000000">
        <w:rPr>
          <w:rFonts w:ascii="Times New Roman" w:cs="Times New Roman" w:eastAsia="Times New Roman" w:hAnsi="Times New Roman"/>
          <w:b w:val="1"/>
          <w:bCs w:val="1"/>
          <w:sz w:val="22"/>
          <w:szCs w:val="22"/>
          <w:rtl w:val="0"/>
        </w:rPr>
        <w:t xml:space="preserve">Детальний опис послуги:</w:t>
      </w:r>
      <w:r w:rsidDel="00000000" w:rsidR="00000000" w:rsidRPr="00000000">
        <w:rPr>
          <w:rFonts w:ascii="Times New Roman" w:cs="Times New Roman" w:eastAsia="Times New Roman" w:hAnsi="Times New Roman"/>
          <w:sz w:val="22"/>
          <w:szCs w:val="22"/>
          <w:rtl w:val="0"/>
        </w:rPr>
        <w:t xml:space="preserve"> Послуга складається з </w:t>
      </w:r>
      <w:r w:rsidDel="00000000" w:rsidR="00000000" w:rsidRPr="00000000">
        <w:rPr>
          <w:rFonts w:ascii="Times New Roman" w:cs="Times New Roman" w:eastAsia="Times New Roman" w:hAnsi="Times New Roman"/>
          <w:b w:val="1"/>
          <w:bCs w:val="1"/>
          <w:sz w:val="22"/>
          <w:szCs w:val="22"/>
          <w:u w:val="single"/>
          <w:rtl w:val="0"/>
        </w:rPr>
        <w:t xml:space="preserve">трьох навчальних блоків</w:t>
      </w:r>
      <w:r w:rsidDel="00000000" w:rsidR="00000000" w:rsidRPr="00000000">
        <w:rPr>
          <w:rFonts w:ascii="Times New Roman" w:cs="Times New Roman" w:eastAsia="Times New Roman" w:hAnsi="Times New Roman"/>
          <w:sz w:val="22"/>
          <w:szCs w:val="22"/>
          <w:rtl w:val="0"/>
        </w:rPr>
        <w:t xml:space="preserve"> (рекомендований формат, інші пропозиції можуть бути погоджені сторонами).</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keepNext w:val="0"/>
        <w:keepLines w:val="0"/>
        <w:spacing w:after="0" w:before="0" w:lineRule="auto"/>
        <w:ind w:firstLine="566"/>
        <w:jc w:val="both"/>
        <w:rPr>
          <w:rFonts w:ascii="Times New Roman" w:cs="Times New Roman" w:eastAsia="Times New Roman" w:hAnsi="Times New Roman"/>
          <w:color w:val="000000"/>
          <w:sz w:val="22"/>
          <w:szCs w:val="22"/>
        </w:rPr>
      </w:pPr>
      <w:bookmarkStart w:colFirst="0" w:colLast="0" w:name="_heading=h.6fhqgfm1s7ed" w:id="7"/>
      <w:bookmarkEnd w:id="7"/>
      <w:r w:rsidDel="00000000" w:rsidR="00000000" w:rsidRPr="00000000">
        <w:rPr>
          <w:rFonts w:ascii="Times New Roman" w:cs="Times New Roman" w:eastAsia="Times New Roman" w:hAnsi="Times New Roman"/>
          <w:color w:val="000000"/>
          <w:sz w:val="22"/>
          <w:szCs w:val="22"/>
          <w:u w:val="single"/>
          <w:rtl w:val="0"/>
        </w:rPr>
        <w:t xml:space="preserve">Блок 1.</w:t>
      </w:r>
      <w:r w:rsidDel="00000000" w:rsidR="00000000" w:rsidRPr="00000000">
        <w:rPr>
          <w:rFonts w:ascii="Times New Roman" w:cs="Times New Roman" w:eastAsia="Times New Roman" w:hAnsi="Times New Roman"/>
          <w:color w:val="000000"/>
          <w:sz w:val="22"/>
          <w:szCs w:val="22"/>
          <w:rtl w:val="0"/>
        </w:rPr>
        <w:t xml:space="preserve"> Навчання для юристів</w:t>
      </w:r>
    </w:p>
    <w:p w:rsidR="00000000" w:rsidDel="00000000" w:rsidP="00000000" w:rsidRDefault="00000000" w:rsidRPr="00000000" w14:paraId="00000015">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Мета: сформувати практичні навички оцінки психологічних висновків та їх використання у судовій практиці.</w:t>
      </w:r>
    </w:p>
    <w:p w:rsidR="00000000" w:rsidDel="00000000" w:rsidP="00000000" w:rsidRDefault="00000000" w:rsidRPr="00000000" w14:paraId="00000016">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Передбачає:</w:t>
      </w:r>
    </w:p>
    <w:p w:rsidR="00000000" w:rsidDel="00000000" w:rsidP="00000000" w:rsidRDefault="00000000" w:rsidRPr="00000000" w14:paraId="00000017">
      <w:pPr>
        <w:numPr>
          <w:ilvl w:val="0"/>
          <w:numId w:val="5"/>
        </w:numPr>
        <w:ind w:left="720" w:hanging="152.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2-годинний вебінар щодо загальних принципів оцінки висновків психолога, експерта та рецензента, структури та обов'язкових елементів висновку;</w:t>
      </w:r>
    </w:p>
    <w:p w:rsidR="00000000" w:rsidDel="00000000" w:rsidP="00000000" w:rsidRDefault="00000000" w:rsidRPr="00000000" w14:paraId="00000018">
      <w:pPr>
        <w:numPr>
          <w:ilvl w:val="0"/>
          <w:numId w:val="5"/>
        </w:numPr>
        <w:ind w:left="720" w:hanging="152.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4-годинний практикум з аналізу психологічних висновків, визначення типових недоліків та ефективної комунікації з психологом щодо їх доопрацювання;</w:t>
      </w:r>
    </w:p>
    <w:p w:rsidR="00000000" w:rsidDel="00000000" w:rsidP="00000000" w:rsidRDefault="00000000" w:rsidRPr="00000000" w14:paraId="00000019">
      <w:pPr>
        <w:numPr>
          <w:ilvl w:val="0"/>
          <w:numId w:val="5"/>
        </w:numPr>
        <w:ind w:left="720" w:hanging="152.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навчальних матеріалів та перевірка домашніх завдань. </w:t>
      </w:r>
    </w:p>
    <w:p w:rsidR="00000000" w:rsidDel="00000000" w:rsidP="00000000" w:rsidRDefault="00000000" w:rsidRPr="00000000" w14:paraId="0000001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Style w:val="Heading3"/>
        <w:keepNext w:val="0"/>
        <w:keepLines w:val="0"/>
        <w:spacing w:after="0" w:before="0" w:lineRule="auto"/>
        <w:ind w:firstLine="566"/>
        <w:jc w:val="both"/>
        <w:rPr>
          <w:rFonts w:ascii="Times New Roman" w:cs="Times New Roman" w:eastAsia="Times New Roman" w:hAnsi="Times New Roman"/>
          <w:color w:val="000000"/>
          <w:sz w:val="22"/>
          <w:szCs w:val="22"/>
        </w:rPr>
      </w:pPr>
      <w:bookmarkStart w:colFirst="0" w:colLast="0" w:name="_heading=h.3c2g2lroy23p" w:id="8"/>
      <w:bookmarkEnd w:id="8"/>
      <w:r w:rsidDel="00000000" w:rsidR="00000000" w:rsidRPr="00000000">
        <w:rPr>
          <w:rFonts w:ascii="Times New Roman" w:cs="Times New Roman" w:eastAsia="Times New Roman" w:hAnsi="Times New Roman"/>
          <w:color w:val="000000"/>
          <w:sz w:val="22"/>
          <w:szCs w:val="22"/>
          <w:u w:val="single"/>
          <w:rtl w:val="0"/>
        </w:rPr>
        <w:t xml:space="preserve">Блок 2.</w:t>
      </w:r>
      <w:r w:rsidDel="00000000" w:rsidR="00000000" w:rsidRPr="00000000">
        <w:rPr>
          <w:rFonts w:ascii="Times New Roman" w:cs="Times New Roman" w:eastAsia="Times New Roman" w:hAnsi="Times New Roman"/>
          <w:color w:val="000000"/>
          <w:sz w:val="22"/>
          <w:szCs w:val="22"/>
          <w:rtl w:val="0"/>
        </w:rPr>
        <w:t xml:space="preserve"> Навчання для психологів</w:t>
      </w:r>
    </w:p>
    <w:p w:rsidR="00000000" w:rsidDel="00000000" w:rsidP="00000000" w:rsidRDefault="00000000" w:rsidRPr="00000000" w14:paraId="0000001E">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Мета: підвищити якість підготовки психологічних висновків, які можуть використовуватися як доказ у судовому процесі.</w:t>
      </w:r>
    </w:p>
    <w:p w:rsidR="00000000" w:rsidDel="00000000" w:rsidP="00000000" w:rsidRDefault="00000000" w:rsidRPr="00000000" w14:paraId="0000001F">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Передбачає:</w:t>
      </w:r>
    </w:p>
    <w:p w:rsidR="00000000" w:rsidDel="00000000" w:rsidP="00000000" w:rsidRDefault="00000000" w:rsidRPr="00000000" w14:paraId="00000020">
      <w:pPr>
        <w:numPr>
          <w:ilvl w:val="0"/>
          <w:numId w:val="2"/>
        </w:numPr>
        <w:ind w:left="720" w:hanging="152.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2-годинний вебінар щодо валідних психодіагностичних методик, які можуть бути використані під час підготовки психологічного висновку;</w:t>
      </w:r>
    </w:p>
    <w:p w:rsidR="00000000" w:rsidDel="00000000" w:rsidP="00000000" w:rsidRDefault="00000000" w:rsidRPr="00000000" w14:paraId="00000021">
      <w:pPr>
        <w:numPr>
          <w:ilvl w:val="0"/>
          <w:numId w:val="2"/>
        </w:numPr>
        <w:ind w:left="720" w:hanging="152.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4-годинний практикум із написання психологічних висновків на основі практичних кейсів із наданням індивідуального зворотного зв'язку;</w:t>
      </w:r>
    </w:p>
    <w:p w:rsidR="00000000" w:rsidDel="00000000" w:rsidP="00000000" w:rsidRDefault="00000000" w:rsidRPr="00000000" w14:paraId="00000022">
      <w:pPr>
        <w:numPr>
          <w:ilvl w:val="0"/>
          <w:numId w:val="2"/>
        </w:numPr>
        <w:ind w:left="720" w:hanging="152.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навчальних матеріалів та перевірка домашніх завдань. </w:t>
      </w:r>
    </w:p>
    <w:p w:rsidR="00000000" w:rsidDel="00000000" w:rsidP="00000000" w:rsidRDefault="00000000" w:rsidRPr="00000000" w14:paraId="00000023">
      <w:pPr>
        <w:ind w:firstLine="566"/>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24">
      <w:pPr>
        <w:ind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Блок 3:</w:t>
      </w:r>
      <w:r w:rsidDel="00000000" w:rsidR="00000000" w:rsidRPr="00000000">
        <w:rPr>
          <w:rFonts w:ascii="Times New Roman" w:cs="Times New Roman" w:eastAsia="Times New Roman" w:hAnsi="Times New Roman"/>
          <w:rtl w:val="0"/>
        </w:rPr>
        <w:t xml:space="preserve"> проведення практичної симуляції судового засідання («міні-суд») для відпрацювання навичок представлення та захисту психологічного висновку.</w:t>
      </w:r>
    </w:p>
    <w:p w:rsidR="00000000" w:rsidDel="00000000" w:rsidP="00000000" w:rsidRDefault="00000000" w:rsidRPr="00000000" w14:paraId="00000025">
      <w:pPr>
        <w:numPr>
          <w:ilvl w:val="0"/>
          <w:numId w:val="2"/>
        </w:numPr>
        <w:ind w:left="720" w:hanging="152.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4-годинний практикум для психологів та юристів, симуляції судового засідання («міні-суд»);</w:t>
      </w:r>
    </w:p>
    <w:p w:rsidR="00000000" w:rsidDel="00000000" w:rsidP="00000000" w:rsidRDefault="00000000" w:rsidRPr="00000000" w14:paraId="00000026">
      <w:pPr>
        <w:numPr>
          <w:ilvl w:val="0"/>
          <w:numId w:val="2"/>
        </w:numPr>
        <w:ind w:left="720" w:hanging="152.999999999999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супервізійні консультації по результатах симуляційної гри для учасників тренінгу</w:t>
      </w:r>
      <w:r w:rsidDel="00000000" w:rsidR="00000000" w:rsidRPr="00000000">
        <w:rPr>
          <w:rFonts w:ascii="Times New Roman" w:cs="Times New Roman" w:eastAsia="Times New Roman" w:hAnsi="Times New Roman"/>
          <w:highlight w:val="white"/>
          <w:rtl w:val="0"/>
        </w:rPr>
        <w:t xml:space="preserve">. Орієнтовна кількість консультацій становить до 10 на одну навчальну групу та визначається залежно від кількості запитів від учасників після проведення онлайн-тренінгу та практикуму. </w:t>
      </w:r>
      <w:r w:rsidDel="00000000" w:rsidR="00000000" w:rsidRPr="00000000">
        <w:rPr>
          <w:rtl w:val="0"/>
        </w:rPr>
      </w:r>
    </w:p>
    <w:p w:rsidR="00000000" w:rsidDel="00000000" w:rsidP="00000000" w:rsidRDefault="00000000" w:rsidRPr="00000000" w14:paraId="00000027">
      <w:pPr>
        <w:spacing w:after="160" w:line="276" w:lineRule="auto"/>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i w:val="1"/>
          <w:iCs w:val="1"/>
          <w:sz w:val="18"/>
          <w:szCs w:val="18"/>
          <w:highlight w:val="white"/>
          <w:rtl w:val="0"/>
        </w:rPr>
        <w:t xml:space="preserve">*Вказана попередня запланована кількість консультацій  (1 консультація  - 1 година), яка є орієнтовною і обумовлюється фактичною наявністю запитів від учасників. Зазначений обсяг може бути змінений за взаємною згодою сторін.</w:t>
      </w:r>
      <w:r w:rsidDel="00000000" w:rsidR="00000000" w:rsidRPr="00000000">
        <w:rPr>
          <w:rFonts w:ascii="Times New Roman" w:cs="Times New Roman" w:eastAsia="Times New Roman" w:hAnsi="Times New Roman"/>
          <w:i w:val="1"/>
          <w:iCs w:val="1"/>
          <w:sz w:val="20"/>
          <w:szCs w:val="20"/>
          <w:highlight w:val="white"/>
          <w:rtl w:val="0"/>
        </w:rPr>
        <w:t xml:space="preserve"> </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Очікуваний результат: </w:t>
      </w:r>
      <w:r w:rsidDel="00000000" w:rsidR="00000000" w:rsidRPr="00000000">
        <w:rPr>
          <w:rFonts w:ascii="Times New Roman" w:cs="Times New Roman" w:eastAsia="Times New Roman" w:hAnsi="Times New Roman"/>
          <w:rtl w:val="0"/>
        </w:rPr>
        <w:t xml:space="preserve">за результатами навчання психологи та юристи набудуть практичних навичок підготовки, оцінки та використання психологічних висновків у судовій практиці, посилять міждисциплінарну взаємодію та будуть готові використовувати психологічний висновок як інструмент захисту прав постраждалих від гендерно зумовленого насильства, що сприятиме підвищенню якості комплексної допомоги та забезпеченню доступу постраждалих до правосуддя. </w:t>
      </w:r>
    </w:p>
    <w:p w:rsidR="00000000" w:rsidDel="00000000" w:rsidP="00000000" w:rsidRDefault="00000000" w:rsidRPr="00000000" w14:paraId="0000002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b w:val="1"/>
          <w:bCs w:val="1"/>
          <w:highlight w:val="white"/>
          <w:rtl w:val="0"/>
        </w:rPr>
        <w:t xml:space="preserve">Завдання виконавця:</w:t>
      </w:r>
      <w:r w:rsidDel="00000000" w:rsidR="00000000" w:rsidRPr="00000000">
        <w:rPr>
          <w:rtl w:val="0"/>
        </w:rPr>
      </w:r>
    </w:p>
    <w:p w:rsidR="00000000" w:rsidDel="00000000" w:rsidP="00000000" w:rsidRDefault="00000000" w:rsidRPr="00000000" w14:paraId="0000002B">
      <w:pPr>
        <w:numPr>
          <w:ilvl w:val="0"/>
          <w:numId w:val="4"/>
        </w:numPr>
        <w:spacing w:befor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розробити програму навчання для психологів та юристів відповідно до цілей закупівлі;</w:t>
      </w:r>
    </w:p>
    <w:p w:rsidR="00000000" w:rsidDel="00000000" w:rsidP="00000000" w:rsidRDefault="00000000" w:rsidRPr="00000000" w14:paraId="0000002C">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підготувати навчально-методичні, мультимедійні матеріали та тренувальні вправи, засновані на реальних або змодельованих ситуаціях використання психологічних висновків у судовій практиці;</w:t>
      </w:r>
    </w:p>
    <w:p w:rsidR="00000000" w:rsidDel="00000000" w:rsidP="00000000" w:rsidRDefault="00000000" w:rsidRPr="00000000" w14:paraId="0000002D">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провести навчання із застосуванням інтерактивних методів, що забезпечують формування практичних навичок учасників;</w:t>
      </w:r>
    </w:p>
    <w:p w:rsidR="00000000" w:rsidDel="00000000" w:rsidP="00000000" w:rsidRDefault="00000000" w:rsidRPr="00000000" w14:paraId="0000002E">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забезпечити практичний розбір психологічних висновків, надання професійного зворотного зв'язку та рекомендацій щодо їх підготовки й оцінки;</w:t>
      </w:r>
    </w:p>
    <w:p w:rsidR="00000000" w:rsidDel="00000000" w:rsidP="00000000" w:rsidRDefault="00000000" w:rsidRPr="00000000" w14:paraId="0000002F">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супервізійні консультації по результатах симуляційної гри для учасників тренінгу. Орієнтовна кількість консультацій становить до 1</w:t>
      </w:r>
      <w:r w:rsidDel="00000000" w:rsidR="00000000" w:rsidRPr="00000000">
        <w:rPr>
          <w:rFonts w:ascii="Times New Roman" w:cs="Times New Roman" w:eastAsia="Times New Roman" w:hAnsi="Times New Roman"/>
          <w:highlight w:val="white"/>
          <w:rtl w:val="0"/>
        </w:rPr>
        <w:t xml:space="preserve">0</w:t>
      </w:r>
      <w:r w:rsidDel="00000000" w:rsidR="00000000" w:rsidRPr="00000000">
        <w:rPr>
          <w:rFonts w:ascii="Times New Roman" w:cs="Times New Roman" w:eastAsia="Times New Roman" w:hAnsi="Times New Roman"/>
          <w:highlight w:val="white"/>
          <w:rtl w:val="0"/>
        </w:rPr>
        <w:t xml:space="preserve"> на одну навчальну групу та визначається залежно від кількості запитів від учасників після проведення онлайн-тренінгу та практикуму;</w:t>
      </w:r>
    </w:p>
    <w:p w:rsidR="00000000" w:rsidDel="00000000" w:rsidP="00000000" w:rsidRDefault="00000000" w:rsidRPr="00000000" w14:paraId="00000030">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розробити інструменти вхідного та вихідного оцінювання для визначення рівня засвоєння знань учасниками;</w:t>
      </w:r>
    </w:p>
    <w:p w:rsidR="00000000" w:rsidDel="00000000" w:rsidP="00000000" w:rsidRDefault="00000000" w:rsidRPr="00000000" w14:paraId="00000031">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надати Замовнику комплект навчальних матеріалів та рекомендацій, підготовлених у межах виконання договору</w:t>
      </w:r>
    </w:p>
    <w:p w:rsidR="00000000" w:rsidDel="00000000" w:rsidP="00000000" w:rsidRDefault="00000000" w:rsidRPr="00000000" w14:paraId="00000032">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підготовка звітної документації по проведенню курсу: надання описового звіту, з рекомендаціями та корисними посиланнями для подальшого самостійного опрацювання теми, відпрацювання навичок фахівцями. </w: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jc w:val="both"/>
        <w:rPr>
          <w:rFonts w:ascii="Times New Roman" w:cs="Times New Roman" w:eastAsia="Times New Roman" w:hAnsi="Times New Roman"/>
          <w:b w:val="1"/>
          <w:bCs w:val="1"/>
          <w:color w:val="000000"/>
          <w:sz w:val="22"/>
          <w:szCs w:val="22"/>
          <w:highlight w:val="white"/>
        </w:rPr>
      </w:pPr>
      <w:bookmarkStart w:colFirst="0" w:colLast="0" w:name="_heading=h.j8dshxapvnrz" w:id="9"/>
      <w:bookmarkEnd w:id="9"/>
      <w:r w:rsidDel="00000000" w:rsidR="00000000" w:rsidRPr="00000000">
        <w:rPr>
          <w:rFonts w:ascii="Times New Roman" w:cs="Times New Roman" w:eastAsia="Times New Roman" w:hAnsi="Times New Roman"/>
          <w:b w:val="1"/>
          <w:bCs w:val="1"/>
          <w:color w:val="000000"/>
          <w:sz w:val="22"/>
          <w:szCs w:val="22"/>
          <w:rtl w:val="0"/>
        </w:rPr>
        <w:t xml:space="preserve">Вимоги до виконавця:</w:t>
      </w:r>
      <w:r w:rsidDel="00000000" w:rsidR="00000000" w:rsidRPr="00000000">
        <w:rPr>
          <w:rtl w:val="0"/>
        </w:rPr>
      </w:r>
    </w:p>
    <w:p w:rsidR="00000000" w:rsidDel="00000000" w:rsidP="00000000" w:rsidRDefault="00000000" w:rsidRPr="00000000" w14:paraId="00000034">
      <w:pPr>
        <w:numPr>
          <w:ilvl w:val="0"/>
          <w:numId w:val="3"/>
        </w:numPr>
        <w:spacing w:befor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вища освіта у галузі психологічних, юридичних наук або суміжних дисциплін (для окремих компонентів допускається залучення різних експертів);</w:t>
      </w:r>
    </w:p>
    <w:p w:rsidR="00000000" w:rsidDel="00000000" w:rsidP="00000000" w:rsidRDefault="00000000" w:rsidRPr="00000000" w14:paraId="00000035">
      <w:pPr>
        <w:numPr>
          <w:ilvl w:val="0"/>
          <w:numId w:val="3"/>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5 років практичного досвіду роботи у сфері психологічної допомоги, судової психології, судової експертизи або юридичного супроводу судових справ;</w:t>
      </w:r>
    </w:p>
    <w:p w:rsidR="00000000" w:rsidDel="00000000" w:rsidP="00000000" w:rsidRDefault="00000000" w:rsidRPr="00000000" w14:paraId="00000036">
      <w:pPr>
        <w:numPr>
          <w:ilvl w:val="0"/>
          <w:numId w:val="3"/>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5 років досвіду проведення професійних навчань для психологів, юристів або інших фахівців соціальної сфери;</w:t>
      </w:r>
    </w:p>
    <w:p w:rsidR="00000000" w:rsidDel="00000000" w:rsidP="00000000" w:rsidRDefault="00000000" w:rsidRPr="00000000" w14:paraId="00000037">
      <w:pPr>
        <w:numPr>
          <w:ilvl w:val="0"/>
          <w:numId w:val="3"/>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досвід розробки навчальних програм, методичних матеріалів для підвищення кваліфікації фахівців;</w:t>
      </w:r>
    </w:p>
    <w:p w:rsidR="00000000" w:rsidDel="00000000" w:rsidP="00000000" w:rsidRDefault="00000000" w:rsidRPr="00000000" w14:paraId="00000038">
      <w:pPr>
        <w:numPr>
          <w:ilvl w:val="0"/>
          <w:numId w:val="3"/>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наявність власного практичного досвіду підготовки психологічних висновків, які використовувалися як докази у судових провадженнях, або досвіду їх оцінки/рецензування.</w:t>
      </w:r>
    </w:p>
    <w:p w:rsidR="00000000" w:rsidDel="00000000" w:rsidP="00000000" w:rsidRDefault="00000000" w:rsidRPr="00000000" w14:paraId="00000039">
      <w:pPr>
        <w:numPr>
          <w:ilvl w:val="0"/>
          <w:numId w:val="3"/>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знання та використання актуальних та валідних психодіагностичних методик, їх психометричних характеристик та можливостей застосування під час підготовки психологічних висновків;</w:t>
      </w:r>
    </w:p>
    <w:p w:rsidR="00000000" w:rsidDel="00000000" w:rsidP="00000000" w:rsidRDefault="00000000" w:rsidRPr="00000000" w14:paraId="0000003A">
      <w:pPr>
        <w:numPr>
          <w:ilvl w:val="0"/>
          <w:numId w:val="3"/>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розуміння вимог процесуального законодавства щодо оцінки письмових доказів та використання висновків спеціалістів і експертів у судовому процесі;</w:t>
      </w:r>
    </w:p>
    <w:p w:rsidR="00000000" w:rsidDel="00000000" w:rsidP="00000000" w:rsidRDefault="00000000" w:rsidRPr="00000000" w14:paraId="0000003B">
      <w:pPr>
        <w:numPr>
          <w:ilvl w:val="0"/>
          <w:numId w:val="3"/>
        </w:numPr>
        <w:spacing w:after="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досвід співпраці з міжнародними організаціями, благодійними фондами або проєктами у сфері захисту прав людини буде перевагою. </w:t>
        <w:tab/>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Умови співпраці</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Учасником тендеру є фізична особа - підприємець 3- групи (далі - ФОП-3-ї групи) які не є платниками ПДВ,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юридичні особи не платник ПДВ.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 який має містити зразки розроблених матеріалів.</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виконаних робіт, рахунку на оплату та звіту.</w:t>
      </w:r>
    </w:p>
    <w:p w:rsidR="00000000" w:rsidDel="00000000" w:rsidP="00000000" w:rsidRDefault="00000000" w:rsidRPr="00000000" w14:paraId="0000004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Усі витрати, пов’язані з наданням послуг (обсяг часу на підготовку до тренінгу, супровідних матеріалів та інші супутні витрати), мають бути включені до загальної вартості послуг. Додаткове відшкодування таких витрат не передбачається.</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у будь-який момент, </w:t>
      </w:r>
      <w:r w:rsidDel="00000000" w:rsidR="00000000" w:rsidRPr="00000000">
        <w:rPr>
          <w:rFonts w:ascii="Times New Roman" w:cs="Times New Roman" w:eastAsia="Times New Roman" w:hAnsi="Times New Roman"/>
          <w:rtl w:val="0"/>
        </w:rPr>
        <w:t xml:space="preserve">але не пізніше ніж за 1 (один) день до кінцевого терміну </w:t>
      </w:r>
      <w:r w:rsidDel="00000000" w:rsidR="00000000" w:rsidRPr="00000000">
        <w:rPr>
          <w:rFonts w:ascii="Times New Roman" w:cs="Times New Roman" w:eastAsia="Times New Roman" w:hAnsi="Times New Roman"/>
          <w:rtl w:val="0"/>
        </w:rPr>
        <w:t xml:space="preserve">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Учасник не має бути в санкційних списках України, ЄС, США, Канади, Японії, Великобританії.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Вимоги до подання пропозицій</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Пропозиція повинна бути складена </w:t>
      </w: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white"/>
          <w:u w:val="single"/>
          <w:vertAlign w:val="baseline"/>
          <w:rtl w:val="0"/>
        </w:rPr>
        <w:t xml:space="preserve">українською мовою</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Просимо надати наступний пакет документів, який буде містити:</w:t>
      </w:r>
      <w:r w:rsidDel="00000000" w:rsidR="00000000" w:rsidRPr="00000000">
        <w:rPr>
          <w:rtl w:val="0"/>
        </w:rPr>
      </w:r>
    </w:p>
    <w:p w:rsidR="00000000" w:rsidDel="00000000" w:rsidP="00000000" w:rsidRDefault="00000000" w:rsidRPr="00000000" w14:paraId="0000004C">
      <w:pPr>
        <w:numPr>
          <w:ilvl w:val="0"/>
          <w:numId w:val="1"/>
        </w:numPr>
        <w:spacing w:befor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контактну інформацію</w:t>
      </w:r>
      <w:r w:rsidDel="00000000" w:rsidR="00000000" w:rsidRPr="00000000">
        <w:rPr>
          <w:rFonts w:ascii="Times New Roman" w:cs="Times New Roman" w:eastAsia="Times New Roman" w:hAnsi="Times New Roman"/>
          <w:highlight w:val="white"/>
          <w:rtl w:val="0"/>
        </w:rPr>
        <w:t xml:space="preserve"> виконавця (телефон та електронна пошта організації або ФОП 3-ї групи / експерта(ів) розглядаються виключно учасники, які не є платниками ПДВ, які будуть залучені до виконання завдання);</w:t>
      </w:r>
    </w:p>
    <w:p w:rsidR="00000000" w:rsidDel="00000000" w:rsidP="00000000" w:rsidRDefault="00000000" w:rsidRPr="00000000" w14:paraId="0000004D">
      <w:pPr>
        <w:numPr>
          <w:ilvl w:val="0"/>
          <w:numId w:val="1"/>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опис</w:t>
      </w:r>
      <w:r w:rsidDel="00000000" w:rsidR="00000000" w:rsidRPr="00000000">
        <w:rPr>
          <w:rFonts w:ascii="Times New Roman" w:cs="Times New Roman" w:eastAsia="Times New Roman" w:hAnsi="Times New Roman"/>
          <w:b w:val="1"/>
          <w:bCs w:val="1"/>
          <w:highlight w:val="white"/>
          <w:rtl w:val="0"/>
        </w:rPr>
        <w:t xml:space="preserve"> кваліфікації та досвіду виконавця</w:t>
      </w:r>
      <w:r w:rsidDel="00000000" w:rsidR="00000000" w:rsidRPr="00000000">
        <w:rPr>
          <w:rFonts w:ascii="Times New Roman" w:cs="Times New Roman" w:eastAsia="Times New Roman" w:hAnsi="Times New Roman"/>
          <w:highlight w:val="white"/>
          <w:rtl w:val="0"/>
        </w:rPr>
        <w:t xml:space="preserve">, включаючи релевантний досвід проведення тренінгів/фасилітацій за тематикою заходу. Опис кваліфікації тренера(ів) має включати інформацію про досвід роботи щонайменше за останні 3 роки (оптимально -5 років), зокрема попередній дотичний досвід, у тому числі досвід проведення тренінгів за зазначеною тематикою. Деталізоване резюме (щонайменше за останні 5 років) повинно містити інформацію про кваліфікацію, загальну кількість років професійного досвіду у відповідній тематиці, досвід співпраці з благодійними фондами, неурядовими організаціями або соціальними проєктами, а також досвід ведення бізнесу, управління проєктами та командами;</w:t>
      </w:r>
    </w:p>
    <w:p w:rsidR="00000000" w:rsidDel="00000000" w:rsidP="00000000" w:rsidRDefault="00000000" w:rsidRPr="00000000" w14:paraId="0000004E">
      <w:pPr>
        <w:numPr>
          <w:ilvl w:val="0"/>
          <w:numId w:val="1"/>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опис бачення реалізації завдання </w:t>
      </w:r>
      <w:r w:rsidDel="00000000" w:rsidR="00000000" w:rsidRPr="00000000">
        <w:rPr>
          <w:rFonts w:ascii="Times New Roman" w:cs="Times New Roman" w:eastAsia="Times New Roman" w:hAnsi="Times New Roman"/>
          <w:highlight w:val="white"/>
          <w:rtl w:val="0"/>
        </w:rPr>
        <w:t xml:space="preserve">та готовності до виконання запланованих активностей;</w:t>
      </w:r>
    </w:p>
    <w:p w:rsidR="00000000" w:rsidDel="00000000" w:rsidP="00000000" w:rsidRDefault="00000000" w:rsidRPr="00000000" w14:paraId="0000004F">
      <w:pPr>
        <w:numPr>
          <w:ilvl w:val="0"/>
          <w:numId w:val="1"/>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Фінансову пропозицію (Додаток В)</w:t>
      </w:r>
      <w:r w:rsidDel="00000000" w:rsidR="00000000" w:rsidRPr="00000000">
        <w:rPr>
          <w:rFonts w:ascii="Times New Roman" w:cs="Times New Roman" w:eastAsia="Times New Roman" w:hAnsi="Times New Roman"/>
          <w:highlight w:val="white"/>
          <w:rtl w:val="0"/>
        </w:rPr>
        <w:t xml:space="preserve"> із зазначенням загальної вартості послуг у національній валюті України (гривні), яка включає всі витрати, необхідні для належного виконання завдання (зокрема оплату роботи виконавця, підготовку та проведення вебінарів і практикумів з урахуванням підготовки навчальних матеріалів та перевірки домашніх завдань, розробку програми, матеріалів, презентацій тощо, а також інші супутні витрати)</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50">
      <w:pPr>
        <w:numPr>
          <w:ilvl w:val="0"/>
          <w:numId w:val="1"/>
        </w:numPr>
        <w:spacing w:after="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реєстраційні документи</w:t>
      </w:r>
      <w:r w:rsidDel="00000000" w:rsidR="00000000" w:rsidRPr="00000000">
        <w:rPr>
          <w:rFonts w:ascii="Times New Roman" w:cs="Times New Roman" w:eastAsia="Times New Roman" w:hAnsi="Times New Roman"/>
          <w:highlight w:val="white"/>
          <w:rtl w:val="0"/>
        </w:rPr>
        <w:t xml:space="preserve"> організації (виписка/витяг, реквізити).</w:t>
      </w:r>
    </w:p>
    <w:p w:rsidR="00000000" w:rsidDel="00000000" w:rsidP="00000000" w:rsidRDefault="00000000" w:rsidRPr="00000000" w14:paraId="00000051">
      <w:pPr>
        <w:spacing w:befor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Критеріями</w:t>
      </w:r>
      <w:r w:rsidDel="00000000" w:rsidR="00000000" w:rsidRPr="00000000">
        <w:rPr>
          <w:rFonts w:ascii="Times New Roman" w:cs="Times New Roman" w:eastAsia="Times New Roman" w:hAnsi="Times New Roman"/>
          <w:b w:val="1"/>
          <w:bCs w:val="1"/>
          <w:highlight w:val="white"/>
          <w:rtl w:val="0"/>
        </w:rPr>
        <w:t xml:space="preserve"> вибору переможця(ів) будуть</w:t>
      </w:r>
      <w:r w:rsidDel="00000000" w:rsidR="00000000" w:rsidRPr="00000000">
        <w:rPr>
          <w:rFonts w:ascii="Times New Roman" w:cs="Times New Roman" w:eastAsia="Times New Roman" w:hAnsi="Times New Roman"/>
          <w:highlight w:val="white"/>
          <w:rtl w:val="0"/>
        </w:rPr>
        <w:t xml:space="preserve">: кваліфікація та компетенції виконавця, релевантний професійний досвід, досвід роботи з відповідними цільовими групами, якість запропонованого підходу та методології виконання завдання, рівень підготовлених навчальних матеріалів, а також результати співбесіди, фінансова пропозиці</w:t>
      </w:r>
      <w:r w:rsidDel="00000000" w:rsidR="00000000" w:rsidRPr="00000000">
        <w:rPr>
          <w:rFonts w:ascii="Times New Roman" w:cs="Times New Roman" w:eastAsia="Times New Roman" w:hAnsi="Times New Roman"/>
          <w:color w:val="000000"/>
          <w:highlight w:val="white"/>
          <w:rtl w:val="0"/>
        </w:rPr>
        <w:t xml:space="preserve">я.</w:t>
      </w:r>
      <w:r w:rsidDel="00000000" w:rsidR="00000000" w:rsidRPr="00000000">
        <w:rPr>
          <w:rtl w:val="0"/>
        </w:rPr>
      </w:r>
    </w:p>
    <w:p w:rsidR="00000000" w:rsidDel="00000000" w:rsidP="00000000" w:rsidRDefault="00000000" w:rsidRPr="00000000" w14:paraId="00000052">
      <w:pPr>
        <w:spacing w:line="254.4" w:lineRule="auto"/>
        <w:jc w:val="both"/>
        <w:rPr>
          <w:u w:val="single"/>
        </w:rPr>
      </w:pPr>
      <w:r w:rsidDel="00000000" w:rsidR="00000000" w:rsidRPr="00000000">
        <w:rPr>
          <w:rtl w:val="0"/>
        </w:rPr>
      </w:r>
    </w:p>
    <w:p w:rsidR="00000000" w:rsidDel="00000000" w:rsidP="00000000" w:rsidRDefault="00000000" w:rsidRPr="00000000" w14:paraId="00000053">
      <w:pPr>
        <w:spacing w:after="120" w:line="240" w:lineRule="auto"/>
        <w:ind w:left="-141" w:righ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tbl>
      <w:tblPr>
        <w:tblStyle w:val="Table1"/>
        <w:tblW w:w="10780.0" w:type="dxa"/>
        <w:jc w:val="left"/>
        <w:tblLayout w:type="fixed"/>
        <w:tblLook w:val="0400"/>
      </w:tblPr>
      <w:tblGrid>
        <w:gridCol w:w="326"/>
        <w:gridCol w:w="3933"/>
        <w:gridCol w:w="4823"/>
        <w:gridCol w:w="1698"/>
        <w:tblGridChange w:id="0">
          <w:tblGrid>
            <w:gridCol w:w="326"/>
            <w:gridCol w:w="3933"/>
            <w:gridCol w:w="4823"/>
            <w:gridCol w:w="1698"/>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4">
            <w:pPr>
              <w:spacing w:after="200" w:line="240" w:lineRule="auto"/>
              <w:ind w:left="-141" w:right="-289" w:firstLine="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ШКАЛА ОЦІНКИ КРИТЕРІЇВ</w:t>
            </w: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spacing w:after="200" w:line="240" w:lineRule="auto"/>
              <w:ind w:left="-141" w:righ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9">
            <w:pPr>
              <w:spacing w:after="200" w:line="240" w:lineRule="auto"/>
              <w:ind w:left="-141" w:right="-289" w:firstLine="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Критерій оцінки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A">
            <w:pPr>
              <w:spacing w:after="200" w:line="240" w:lineRule="auto"/>
              <w:ind w:left="-141" w:right="-289" w:firstLine="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Методологія оцінки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B">
            <w:pPr>
              <w:spacing w:after="200" w:line="240" w:lineRule="auto"/>
              <w:ind w:left="141" w:right="4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Максимальна кількість балів</w:t>
            </w:r>
            <w:r w:rsidDel="00000000" w:rsidR="00000000" w:rsidRPr="00000000">
              <w:rPr>
                <w:rtl w:val="0"/>
              </w:rPr>
            </w:r>
          </w:p>
        </w:tc>
      </w:tr>
      <w:tr>
        <w:trPr>
          <w:cantSplit w:val="0"/>
          <w:trHeight w:val="3540"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05C">
            <w:pPr>
              <w:spacing w:after="200" w:line="240" w:lineRule="auto"/>
              <w:ind w:left="-90" w:right="-505" w:firstLine="2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D">
            <w:pPr>
              <w:spacing w:after="200" w:line="240" w:lineRule="auto"/>
              <w:ind w:left="141" w:right="17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Компетенції та кваліфікація експерта(ів) (резюме із зазначенням досвіду розробки </w:t>
            </w:r>
            <w:r w:rsidDel="00000000" w:rsidR="00000000" w:rsidRPr="00000000">
              <w:rPr>
                <w:rFonts w:ascii="Times New Roman" w:cs="Times New Roman" w:eastAsia="Times New Roman" w:hAnsi="Times New Roman"/>
                <w:sz w:val="20"/>
                <w:szCs w:val="20"/>
                <w:rtl w:val="0"/>
              </w:rPr>
              <w:t xml:space="preserve">аналогічних навчальних програм, роботи з фахівцями психологічних та юридичних програм</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after="200" w:line="240" w:lineRule="auto"/>
              <w:ind w:left="141" w:right="17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0">
            <w:pPr>
              <w:spacing w:after="200"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 балів: надано вичерпну інформацію щодо кваліфікації, детально описано досвід розробки </w:t>
            </w:r>
            <w:r w:rsidDel="00000000" w:rsidR="00000000" w:rsidRPr="00000000">
              <w:rPr>
                <w:rFonts w:ascii="Times New Roman" w:cs="Times New Roman" w:eastAsia="Times New Roman" w:hAnsi="Times New Roman"/>
                <w:sz w:val="20"/>
                <w:szCs w:val="20"/>
                <w:rtl w:val="0"/>
              </w:rPr>
              <w:t xml:space="preserve">навчальних програм</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показан досвід</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практичного застосування навичок написання та використання висновку психолога у судових справах</w:t>
            </w:r>
            <w:r w:rsidDel="00000000" w:rsidR="00000000" w:rsidRPr="00000000">
              <w:rPr>
                <w:rFonts w:ascii="Times New Roman" w:cs="Times New Roman" w:eastAsia="Times New Roman" w:hAnsi="Times New Roman"/>
                <w:color w:val="000000"/>
                <w:sz w:val="20"/>
                <w:szCs w:val="20"/>
                <w:rtl w:val="0"/>
              </w:rPr>
              <w:t xml:space="preserve">; резюме актуалізоване та охоплює щонайменше 5 років релевантного досвіду.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13 балів: надано узагальнену інформацію про досвід, описані ключові сфери діяльності без деталізації результатів/кейcів; резюме охоплює щонайменше 3 роки релевантного досвіду.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7 балів: надано резюме з обмеженим або частково релевантним досвідом; відсутній підтверджений досвід за останні 3 роки у розробці </w:t>
            </w:r>
            <w:r w:rsidDel="00000000" w:rsidR="00000000" w:rsidRPr="00000000">
              <w:rPr>
                <w:rFonts w:ascii="Times New Roman" w:cs="Times New Roman" w:eastAsia="Times New Roman" w:hAnsi="Times New Roman"/>
                <w:sz w:val="20"/>
                <w:szCs w:val="20"/>
                <w:rtl w:val="0"/>
              </w:rPr>
              <w:t xml:space="preserve">навчальних програм</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0 балів: резюме не надано або досвід не відповідає тематиці завдання.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061">
            <w:pPr>
              <w:spacing w:after="200" w:line="240" w:lineRule="auto"/>
              <w:ind w:left="141" w:righ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 балів</w:t>
            </w:r>
            <w:r w:rsidDel="00000000" w:rsidR="00000000" w:rsidRPr="00000000">
              <w:rPr>
                <w:rtl w:val="0"/>
              </w:rPr>
            </w:r>
          </w:p>
          <w:p w:rsidR="00000000" w:rsidDel="00000000" w:rsidP="00000000" w:rsidRDefault="00000000" w:rsidRPr="00000000" w14:paraId="00000062">
            <w:pPr>
              <w:spacing w:after="160" w:line="240" w:lineRule="auto"/>
              <w:ind w:left="141" w:righ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r>
      <w:tr>
        <w:trPr>
          <w:cantSplit w:val="0"/>
          <w:trHeight w:val="547"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063">
            <w:pPr>
              <w:spacing w:after="200" w:line="240" w:lineRule="auto"/>
              <w:ind w:right="-788" w:firstLine="4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4">
            <w:pPr>
              <w:spacing w:after="200" w:line="240" w:lineRule="auto"/>
              <w:ind w:left="141" w:right="17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Підхід та методологія виконання завдання (опис бачення процесу</w:t>
            </w:r>
            <w:r w:rsidDel="00000000" w:rsidR="00000000" w:rsidRPr="00000000">
              <w:rPr>
                <w:rFonts w:ascii="Times New Roman" w:cs="Times New Roman" w:eastAsia="Times New Roman" w:hAnsi="Times New Roman"/>
                <w:sz w:val="20"/>
                <w:szCs w:val="20"/>
                <w:rtl w:val="0"/>
              </w:rPr>
              <w:t xml:space="preserve"> проведення навчального курсу, складання пропозиції програми</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5">
            <w:pPr>
              <w:spacing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 балів: пропозиція містить чітко структурований та логічний підхід, деталізовані етапи роботи, опис інструмент</w:t>
            </w:r>
            <w:r w:rsidDel="00000000" w:rsidR="00000000" w:rsidRPr="00000000">
              <w:rPr>
                <w:rFonts w:ascii="Times New Roman" w:cs="Times New Roman" w:eastAsia="Times New Roman" w:hAnsi="Times New Roman"/>
                <w:sz w:val="20"/>
                <w:szCs w:val="20"/>
                <w:rtl w:val="0"/>
              </w:rPr>
              <w:t xml:space="preserve">арію </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діагностичні методики</w:t>
            </w:r>
            <w:r w:rsidDel="00000000" w:rsidR="00000000" w:rsidRPr="00000000">
              <w:rPr>
                <w:rFonts w:ascii="Times New Roman" w:cs="Times New Roman" w:eastAsia="Times New Roman" w:hAnsi="Times New Roman"/>
                <w:color w:val="000000"/>
                <w:sz w:val="20"/>
                <w:szCs w:val="20"/>
                <w:rtl w:val="0"/>
              </w:rPr>
              <w:t xml:space="preserve">), формат взаємодії </w:t>
            </w:r>
            <w:r w:rsidDel="00000000" w:rsidR="00000000" w:rsidRPr="00000000">
              <w:rPr>
                <w:rFonts w:ascii="Times New Roman" w:cs="Times New Roman" w:eastAsia="Times New Roman" w:hAnsi="Times New Roman"/>
                <w:sz w:val="20"/>
                <w:szCs w:val="20"/>
                <w:rtl w:val="0"/>
              </w:rPr>
              <w:t xml:space="preserve">з учасниками (вебінари, онлайн практикуми, завдання для самостійного опрацювання)</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066">
            <w:pPr>
              <w:spacing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10 балів: підхід описаний загально, без достатньої деталізації етапів, інструментів або взаємодії; </w:t>
            </w:r>
            <w:r w:rsidDel="00000000" w:rsidR="00000000" w:rsidRPr="00000000">
              <w:rPr>
                <w:rFonts w:ascii="Times New Roman" w:cs="Times New Roman" w:eastAsia="Times New Roman" w:hAnsi="Times New Roman"/>
                <w:sz w:val="20"/>
                <w:szCs w:val="20"/>
                <w:rtl w:val="0"/>
              </w:rPr>
              <w:t xml:space="preserve">програму проведення</w:t>
            </w:r>
            <w:r w:rsidDel="00000000" w:rsidR="00000000" w:rsidRPr="00000000">
              <w:rPr>
                <w:rFonts w:ascii="Times New Roman" w:cs="Times New Roman" w:eastAsia="Times New Roman" w:hAnsi="Times New Roman"/>
                <w:color w:val="000000"/>
                <w:sz w:val="20"/>
                <w:szCs w:val="20"/>
                <w:rtl w:val="0"/>
              </w:rPr>
              <w:t xml:space="preserve"> подано узагальнено.</w:t>
            </w:r>
            <w:r w:rsidDel="00000000" w:rsidR="00000000" w:rsidRPr="00000000">
              <w:rPr>
                <w:rtl w:val="0"/>
              </w:rPr>
            </w:r>
          </w:p>
          <w:p w:rsidR="00000000" w:rsidDel="00000000" w:rsidP="00000000" w:rsidRDefault="00000000" w:rsidRPr="00000000" w14:paraId="00000067">
            <w:pPr>
              <w:spacing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балів: опис має фрагментарний характер, не дозволяє оцінити логіку виконання завдання.</w:t>
            </w:r>
            <w:r w:rsidDel="00000000" w:rsidR="00000000" w:rsidRPr="00000000">
              <w:rPr>
                <w:rtl w:val="0"/>
              </w:rPr>
            </w:r>
          </w:p>
          <w:p w:rsidR="00000000" w:rsidDel="00000000" w:rsidP="00000000" w:rsidRDefault="00000000" w:rsidRPr="00000000" w14:paraId="00000068">
            <w:pPr>
              <w:spacing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 балів: підхід до виконання завдання не описаний.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069">
            <w:pPr>
              <w:spacing w:after="200" w:line="240" w:lineRule="auto"/>
              <w:ind w:left="141" w:righ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 балів</w:t>
            </w:r>
            <w:r w:rsidDel="00000000" w:rsidR="00000000" w:rsidRPr="00000000">
              <w:rPr>
                <w:rtl w:val="0"/>
              </w:rPr>
            </w:r>
          </w:p>
        </w:tc>
      </w:tr>
      <w:tr>
        <w:trPr>
          <w:cantSplit w:val="0"/>
          <w:trHeight w:val="14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06A">
            <w:pPr>
              <w:spacing w:after="200" w:line="240" w:lineRule="auto"/>
              <w:ind w:left="-135" w:right="-505" w:firstLine="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B">
            <w:pPr>
              <w:spacing w:after="200" w:line="240" w:lineRule="auto"/>
              <w:ind w:left="141" w:right="17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Підготовлені матеріали та шаблони документів, які фахівці використовуватимуть в подальшій практиці. </w:t>
            </w:r>
          </w:p>
          <w:p w:rsidR="00000000" w:rsidDel="00000000" w:rsidP="00000000" w:rsidRDefault="00000000" w:rsidRPr="00000000" w14:paraId="0000006C">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D">
            <w:pPr>
              <w:spacing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 балів: надано </w:t>
            </w:r>
            <w:r w:rsidDel="00000000" w:rsidR="00000000" w:rsidRPr="00000000">
              <w:rPr>
                <w:rFonts w:ascii="Times New Roman" w:cs="Times New Roman" w:eastAsia="Times New Roman" w:hAnsi="Times New Roman"/>
                <w:sz w:val="20"/>
                <w:szCs w:val="20"/>
                <w:rtl w:val="0"/>
              </w:rPr>
              <w:t xml:space="preserve">вичерпний перелік шаблонів та матеріалів, які забезпечать фахівців інструментами та сприятимуть практичному застосуванню знань, отриманих на навчанні. </w:t>
            </w:r>
          </w:p>
          <w:p w:rsidR="00000000" w:rsidDel="00000000" w:rsidP="00000000" w:rsidRDefault="00000000" w:rsidRPr="00000000" w14:paraId="0000006E">
            <w:pPr>
              <w:spacing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10 балів: надано приклади корисних матеріалів, але вони частково релевантні або без </w:t>
            </w:r>
            <w:r w:rsidDel="00000000" w:rsidR="00000000" w:rsidRPr="00000000">
              <w:rPr>
                <w:rFonts w:ascii="Times New Roman" w:cs="Times New Roman" w:eastAsia="Times New Roman" w:hAnsi="Times New Roman"/>
                <w:sz w:val="20"/>
                <w:szCs w:val="20"/>
                <w:rtl w:val="0"/>
              </w:rPr>
              <w:t xml:space="preserve">можливості використання фахівцями на практиці</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06F">
            <w:pPr>
              <w:spacing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балів: надано загальний </w:t>
            </w:r>
            <w:r w:rsidDel="00000000" w:rsidR="00000000" w:rsidRPr="00000000">
              <w:rPr>
                <w:rFonts w:ascii="Times New Roman" w:cs="Times New Roman" w:eastAsia="Times New Roman" w:hAnsi="Times New Roman"/>
                <w:sz w:val="20"/>
                <w:szCs w:val="20"/>
                <w:rtl w:val="0"/>
              </w:rPr>
              <w:t xml:space="preserve">перелік матеріалів, </w:t>
            </w:r>
            <w:r w:rsidDel="00000000" w:rsidR="00000000" w:rsidRPr="00000000">
              <w:rPr>
                <w:rFonts w:ascii="Times New Roman" w:cs="Times New Roman" w:eastAsia="Times New Roman" w:hAnsi="Times New Roman"/>
                <w:color w:val="000000"/>
                <w:sz w:val="20"/>
                <w:szCs w:val="20"/>
                <w:rtl w:val="0"/>
              </w:rPr>
              <w:t xml:space="preserve">без конкретних </w:t>
            </w:r>
            <w:r w:rsidDel="00000000" w:rsidR="00000000" w:rsidRPr="00000000">
              <w:rPr>
                <w:rFonts w:ascii="Times New Roman" w:cs="Times New Roman" w:eastAsia="Times New Roman" w:hAnsi="Times New Roman"/>
                <w:sz w:val="20"/>
                <w:szCs w:val="20"/>
                <w:rtl w:val="0"/>
              </w:rPr>
              <w:t xml:space="preserve">шаблонів</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070">
            <w:pPr>
              <w:spacing w:line="240" w:lineRule="auto"/>
              <w:ind w:righ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 балів: </w:t>
            </w:r>
            <w:r w:rsidDel="00000000" w:rsidR="00000000" w:rsidRPr="00000000">
              <w:rPr>
                <w:rFonts w:ascii="Times New Roman" w:cs="Times New Roman" w:eastAsia="Times New Roman" w:hAnsi="Times New Roman"/>
                <w:sz w:val="20"/>
                <w:szCs w:val="20"/>
                <w:rtl w:val="0"/>
              </w:rPr>
              <w:t xml:space="preserve">матеріали</w:t>
            </w:r>
            <w:r w:rsidDel="00000000" w:rsidR="00000000" w:rsidRPr="00000000">
              <w:rPr>
                <w:rFonts w:ascii="Times New Roman" w:cs="Times New Roman" w:eastAsia="Times New Roman" w:hAnsi="Times New Roman"/>
                <w:color w:val="000000"/>
                <w:sz w:val="20"/>
                <w:szCs w:val="20"/>
                <w:rtl w:val="0"/>
              </w:rPr>
              <w:t xml:space="preserve"> не надано.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071">
            <w:pPr>
              <w:spacing w:after="200" w:line="240" w:lineRule="auto"/>
              <w:ind w:left="141" w:righ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 балів</w:t>
            </w:r>
            <w:r w:rsidDel="00000000" w:rsidR="00000000" w:rsidRPr="00000000">
              <w:rPr>
                <w:rtl w:val="0"/>
              </w:rPr>
            </w:r>
          </w:p>
        </w:tc>
      </w:tr>
      <w:tr>
        <w:trPr>
          <w:cantSplit w:val="0"/>
          <w:trHeight w:val="5064.609375"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072">
            <w:pPr>
              <w:spacing w:after="200" w:line="240" w:lineRule="auto"/>
              <w:ind w:left="-135" w:right="-505" w:firstLine="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3">
            <w:pPr>
              <w:spacing w:after="200" w:line="240" w:lineRule="auto"/>
              <w:ind w:left="141" w:right="17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Співбесіда</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after="240" w:before="24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 балів: Кандидат вчасно долучився до зустрічі, добре підготовлений, глибоко ознайомлений із предметом тендерного оголошення, надає чіткі, структуровані та аргументовані відповіді на питання. Демонструє повне розуміння підходу до виконання завдання та розділяє цінності Фонду.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13 балів: Кандидат долучився до зустрічі вчасно, ознайомлений із предметом тендерного оголошення, надає переважно чіткі відповіді з окремими узагальненнями. Загалом демонструє розуміння завдання та в основному розділяє цінності Фонду.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7 балів: Кандидат долучився до зустрічі, поверхнево ознайомлений із предметом тендерного оголошення, відповіді носять узагальнений характер без достатньої конкретики. Демонструє часткове розуміння завдання та частково розділяє цінності Фонду.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0 балів: Кандидат не долучився до зустрічі, або не володіє інформацією про предмет тендерного оголошення, або не може надати відповіді на питання по темі.</w:t>
            </w:r>
          </w:p>
        </w:tc>
        <w:tc>
          <w:tcPr>
            <w:tcBorders>
              <w:top w:color="000000" w:space="0" w:sz="8" w:val="single"/>
              <w:left w:color="000000" w:space="0" w:sz="4"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075">
            <w:pPr>
              <w:spacing w:after="200" w:line="240" w:lineRule="auto"/>
              <w:ind w:left="141" w:righ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 балів</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2">
      <w:pPr>
        <w:spacing w:before="240" w:line="259"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Щодо </w:t>
      </w:r>
      <w:r w:rsidDel="00000000" w:rsidR="00000000" w:rsidRPr="00000000">
        <w:rPr>
          <w:rFonts w:ascii="Times New Roman" w:cs="Times New Roman" w:eastAsia="Times New Roman" w:hAnsi="Times New Roman"/>
          <w:highlight w:val="white"/>
          <w:u w:val="single"/>
          <w:rtl w:val="0"/>
        </w:rPr>
        <w:t xml:space="preserve">деталей співпраці</w:t>
      </w:r>
      <w:r w:rsidDel="00000000" w:rsidR="00000000" w:rsidRPr="00000000">
        <w:rPr>
          <w:rFonts w:ascii="Times New Roman" w:cs="Times New Roman" w:eastAsia="Times New Roman" w:hAnsi="Times New Roman"/>
          <w:highlight w:val="white"/>
          <w:rtl w:val="0"/>
        </w:rPr>
        <w:t xml:space="preserve"> просимо звертатися до Юлії Скорих, </w:t>
      </w:r>
      <w:hyperlink r:id="rId7">
        <w:r w:rsidDel="00000000" w:rsidR="00000000" w:rsidRPr="00000000">
          <w:rPr>
            <w:rFonts w:ascii="Times New Roman" w:cs="Times New Roman" w:eastAsia="Times New Roman" w:hAnsi="Times New Roman"/>
            <w:color w:val="1155cc"/>
            <w:highlight w:val="white"/>
            <w:u w:val="single"/>
            <w:rtl w:val="0"/>
          </w:rPr>
          <w:t xml:space="preserve">y.skorykh@r2p.org.ua</w:t>
        </w:r>
      </w:hyperlink>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ind w:firstLine="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ind w:firstLine="566"/>
        <w:jc w:val="both"/>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skorykh@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6aEgaiLIKNMH369vYMUqfq6TFQ==">CgMxLjAyDmgubTJsY2xxdXN4ZjgxMg5oLmNmY3pwMms0bXBhMDIOaC4yNjAxeW8xZzZzZWwyDmgua2k3MTA0bWp3aHl6Mg5oLmY0OHB6MDlrZzE0dzIOaC41NDRwMjhyeTVvcnoyDmguMnhtdzFwbWxtNTBuMg5oLjZmaHFnZm0xczdlZDIOaC4zYzJnMmxyb3kyM3AyDmguajhkc2h4YXB2bnJ6OAByITExSVJhaERxekJRaTR0SFpqTXJMT0xheEU1V0t1Z2g5aw==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