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436E2" w14:textId="77777777" w:rsidR="00C644EA" w:rsidRPr="000A653E" w:rsidRDefault="000A653E" w:rsidP="0016182D">
      <w:pPr>
        <w:spacing w:after="0" w:line="240" w:lineRule="auto"/>
        <w:ind w:left="4678"/>
        <w:jc w:val="right"/>
        <w:rPr>
          <w:lang w:val="uk-UA"/>
        </w:rPr>
      </w:pPr>
      <w:r w:rsidRPr="000A653E">
        <w:rPr>
          <w:i/>
          <w:lang w:val="uk-UA"/>
        </w:rPr>
        <w:t>Додаток 2 до оголошення про відкритий тендер</w:t>
      </w:r>
    </w:p>
    <w:p w14:paraId="4DBA6167" w14:textId="77777777" w:rsidR="00C644EA" w:rsidRPr="000A653E" w:rsidRDefault="000A653E" w:rsidP="0016182D">
      <w:pPr>
        <w:spacing w:after="0" w:line="240" w:lineRule="auto"/>
        <w:ind w:left="4678"/>
        <w:jc w:val="right"/>
        <w:rPr>
          <w:lang w:val="uk-UA"/>
        </w:rPr>
      </w:pPr>
      <w:r w:rsidRPr="000A653E">
        <w:rPr>
          <w:i/>
          <w:sz w:val="21"/>
          <w:lang w:val="uk-UA"/>
        </w:rPr>
        <w:t>на закупівлю послуг з логістичного та організаційного забезпечення тренінгів у межах проєкту «ЯКІСНИЙ РУХ»</w:t>
      </w:r>
    </w:p>
    <w:p w14:paraId="02379C71" w14:textId="77777777" w:rsidR="00C644EA" w:rsidRPr="000A653E" w:rsidRDefault="000A653E" w:rsidP="0016182D">
      <w:pPr>
        <w:spacing w:after="0" w:line="240" w:lineRule="auto"/>
        <w:jc w:val="center"/>
        <w:rPr>
          <w:b/>
          <w:sz w:val="32"/>
          <w:lang w:val="uk-UA"/>
        </w:rPr>
      </w:pPr>
      <w:r w:rsidRPr="000A653E">
        <w:rPr>
          <w:b/>
          <w:sz w:val="32"/>
          <w:lang w:val="uk-UA"/>
        </w:rPr>
        <w:t>ВИМОГИ ДО ПРЕДМЕТУ ЗАКУПІВЛІ</w:t>
      </w:r>
      <w:r w:rsidRPr="000A653E">
        <w:rPr>
          <w:b/>
          <w:sz w:val="32"/>
          <w:lang w:val="uk-UA"/>
        </w:rPr>
        <w:br/>
        <w:t>(технічні характеристики послуг)</w:t>
      </w:r>
    </w:p>
    <w:p w14:paraId="4CB3D282" w14:textId="77777777" w:rsidR="0016182D" w:rsidRPr="000A653E" w:rsidRDefault="0016182D" w:rsidP="0016182D">
      <w:pPr>
        <w:spacing w:after="0" w:line="240" w:lineRule="auto"/>
        <w:jc w:val="center"/>
        <w:rPr>
          <w:lang w:val="uk-UA"/>
        </w:rPr>
      </w:pPr>
    </w:p>
    <w:p w14:paraId="2A793D5F" w14:textId="77777777" w:rsidR="00C644EA" w:rsidRPr="000A653E" w:rsidRDefault="000A653E" w:rsidP="0016182D">
      <w:pPr>
        <w:pStyle w:val="1"/>
        <w:spacing w:before="0" w:line="240" w:lineRule="auto"/>
        <w:rPr>
          <w:lang w:val="uk-UA"/>
        </w:rPr>
      </w:pPr>
      <w:r w:rsidRPr="000A653E">
        <w:rPr>
          <w:rFonts w:ascii="Times New Roman" w:hAnsi="Times New Roman"/>
          <w:color w:val="000000"/>
          <w:lang w:val="uk-UA"/>
        </w:rPr>
        <w:t>1. Загальний опис предмету закупівлі</w:t>
      </w:r>
    </w:p>
    <w:p w14:paraId="08342056" w14:textId="77777777" w:rsidR="00C644EA" w:rsidRPr="000A653E" w:rsidRDefault="000A653E" w:rsidP="0016182D">
      <w:pPr>
        <w:spacing w:after="0" w:line="240" w:lineRule="auto"/>
        <w:ind w:firstLine="851"/>
        <w:jc w:val="both"/>
        <w:rPr>
          <w:lang w:val="uk-UA"/>
        </w:rPr>
      </w:pPr>
      <w:r w:rsidRPr="000A653E">
        <w:rPr>
          <w:lang w:val="uk-UA"/>
        </w:rPr>
        <w:t>Предметом закупівлі є комплекс послуг з логістичного та організаційного забезпечення двох блоків навчальних заходів у межах проєкту «ЯКІСНИЙ РУХ»: Блоку А (тренінг для тренерів) та Блоку Б (8 регіональних тренінгів для практикуючих фахівців). Нижче наведено мінімальні обов’язкові технічні характеристики кожної складової послуги. Пропозиції, що не відповідають зазначеним мінімальним вимогам, вважаються такими, що не відповідають умовам закупівлі.</w:t>
      </w:r>
    </w:p>
    <w:p w14:paraId="76D584E2" w14:textId="77777777" w:rsidR="0016182D" w:rsidRPr="000A653E" w:rsidRDefault="0016182D" w:rsidP="0016182D">
      <w:pPr>
        <w:spacing w:after="0" w:line="240" w:lineRule="auto"/>
        <w:ind w:firstLine="851"/>
        <w:jc w:val="both"/>
        <w:rPr>
          <w:lang w:val="uk-UA"/>
        </w:rPr>
      </w:pPr>
    </w:p>
    <w:p w14:paraId="52C93DE9" w14:textId="77777777" w:rsidR="00C644EA" w:rsidRPr="000A653E" w:rsidRDefault="000A653E" w:rsidP="0016182D">
      <w:pPr>
        <w:pStyle w:val="1"/>
        <w:spacing w:before="0" w:line="240" w:lineRule="auto"/>
        <w:rPr>
          <w:lang w:val="uk-UA"/>
        </w:rPr>
      </w:pPr>
      <w:r w:rsidRPr="000A653E">
        <w:rPr>
          <w:rFonts w:ascii="Times New Roman" w:hAnsi="Times New Roman"/>
          <w:color w:val="000000"/>
          <w:lang w:val="uk-UA"/>
        </w:rPr>
        <w:t>2. Параметри заходів</w:t>
      </w:r>
    </w:p>
    <w:tbl>
      <w:tblPr>
        <w:tblStyle w:val="aff2"/>
        <w:tblW w:w="0" w:type="auto"/>
        <w:jc w:val="center"/>
        <w:tblLook w:val="04A0" w:firstRow="1" w:lastRow="0" w:firstColumn="1" w:lastColumn="0" w:noHBand="0" w:noVBand="1"/>
      </w:tblPr>
      <w:tblGrid>
        <w:gridCol w:w="2134"/>
        <w:gridCol w:w="2184"/>
        <w:gridCol w:w="3020"/>
        <w:gridCol w:w="2851"/>
      </w:tblGrid>
      <w:tr w:rsidR="008E48A8" w:rsidRPr="008E48A8" w14:paraId="1AEEC658" w14:textId="4FB0FA2F" w:rsidTr="008E48A8">
        <w:trPr>
          <w:jc w:val="center"/>
        </w:trPr>
        <w:tc>
          <w:tcPr>
            <w:tcW w:w="2134" w:type="dxa"/>
          </w:tcPr>
          <w:p w14:paraId="0D58F61B" w14:textId="77777777" w:rsidR="008E48A8" w:rsidRPr="000A653E" w:rsidRDefault="008E48A8" w:rsidP="0016182D">
            <w:pPr>
              <w:rPr>
                <w:lang w:val="uk-UA"/>
              </w:rPr>
            </w:pPr>
            <w:r w:rsidRPr="000A653E">
              <w:rPr>
                <w:b/>
                <w:lang w:val="uk-UA"/>
              </w:rPr>
              <w:t>Параметр</w:t>
            </w:r>
          </w:p>
        </w:tc>
        <w:tc>
          <w:tcPr>
            <w:tcW w:w="2184" w:type="dxa"/>
          </w:tcPr>
          <w:p w14:paraId="28E610D9" w14:textId="77777777" w:rsidR="008E48A8" w:rsidRPr="000A653E" w:rsidRDefault="008E48A8" w:rsidP="0016182D">
            <w:pPr>
              <w:rPr>
                <w:lang w:val="uk-UA"/>
              </w:rPr>
            </w:pPr>
            <w:r w:rsidRPr="000A653E">
              <w:rPr>
                <w:b/>
                <w:lang w:val="uk-UA"/>
              </w:rPr>
              <w:t>Блок А — Тренінг для тренерів</w:t>
            </w:r>
          </w:p>
        </w:tc>
        <w:tc>
          <w:tcPr>
            <w:tcW w:w="3020" w:type="dxa"/>
          </w:tcPr>
          <w:p w14:paraId="1D2120A9" w14:textId="077444D0" w:rsidR="008E48A8" w:rsidRPr="000A653E" w:rsidRDefault="008E48A8" w:rsidP="0016182D">
            <w:pPr>
              <w:rPr>
                <w:lang w:val="uk-UA"/>
              </w:rPr>
            </w:pPr>
            <w:r w:rsidRPr="000A653E">
              <w:rPr>
                <w:b/>
                <w:lang w:val="uk-UA"/>
              </w:rPr>
              <w:t>Блок Б — Регіональні тренінги</w:t>
            </w:r>
            <w:r w:rsidRPr="008E48A8">
              <w:rPr>
                <w:b/>
                <w:lang w:val="uk-UA"/>
              </w:rPr>
              <w:t>для практикуючих фахівців з ортезування</w:t>
            </w:r>
          </w:p>
        </w:tc>
        <w:tc>
          <w:tcPr>
            <w:tcW w:w="2851" w:type="dxa"/>
          </w:tcPr>
          <w:p w14:paraId="537AC4B3" w14:textId="7D4F52B0" w:rsidR="008E48A8" w:rsidRPr="000A653E" w:rsidRDefault="008E48A8" w:rsidP="0016182D">
            <w:pPr>
              <w:rPr>
                <w:b/>
                <w:lang w:val="uk-UA"/>
              </w:rPr>
            </w:pPr>
            <w:r>
              <w:rPr>
                <w:b/>
                <w:lang w:val="uk-UA"/>
              </w:rPr>
              <w:t xml:space="preserve">Блок В </w:t>
            </w:r>
            <w:r w:rsidRPr="000A653E">
              <w:rPr>
                <w:b/>
                <w:lang w:val="uk-UA"/>
              </w:rPr>
              <w:t xml:space="preserve">— </w:t>
            </w:r>
            <w:r>
              <w:rPr>
                <w:b/>
                <w:lang w:val="uk-UA"/>
              </w:rPr>
              <w:t xml:space="preserve"> </w:t>
            </w:r>
            <w:r w:rsidRPr="008E48A8">
              <w:rPr>
                <w:b/>
                <w:lang w:val="uk-UA"/>
              </w:rPr>
              <w:t xml:space="preserve">Тренінги для </w:t>
            </w:r>
            <w:r>
              <w:rPr>
                <w:b/>
                <w:lang w:val="uk-UA"/>
              </w:rPr>
              <w:t>м</w:t>
            </w:r>
            <w:r w:rsidRPr="008E48A8">
              <w:rPr>
                <w:b/>
                <w:lang w:val="uk-UA"/>
              </w:rPr>
              <w:t>ультидисциплінарних реабілітаційних команд</w:t>
            </w:r>
          </w:p>
        </w:tc>
      </w:tr>
      <w:tr w:rsidR="008E48A8" w:rsidRPr="000A653E" w14:paraId="358F9ABC" w14:textId="27D8E8E3" w:rsidTr="008E48A8">
        <w:trPr>
          <w:jc w:val="center"/>
        </w:trPr>
        <w:tc>
          <w:tcPr>
            <w:tcW w:w="2134" w:type="dxa"/>
          </w:tcPr>
          <w:p w14:paraId="553BD45E" w14:textId="77777777" w:rsidR="008E48A8" w:rsidRPr="000A653E" w:rsidRDefault="008E48A8" w:rsidP="0016182D">
            <w:pPr>
              <w:rPr>
                <w:lang w:val="uk-UA"/>
              </w:rPr>
            </w:pPr>
            <w:r w:rsidRPr="000A653E">
              <w:rPr>
                <w:lang w:val="uk-UA"/>
              </w:rPr>
              <w:t>Кількість заходів</w:t>
            </w:r>
          </w:p>
        </w:tc>
        <w:tc>
          <w:tcPr>
            <w:tcW w:w="2184" w:type="dxa"/>
          </w:tcPr>
          <w:p w14:paraId="734EEF0A" w14:textId="79FA4CD8" w:rsidR="008E48A8" w:rsidRPr="000A653E" w:rsidRDefault="008E48A8" w:rsidP="0016182D">
            <w:pPr>
              <w:rPr>
                <w:lang w:val="uk-UA"/>
              </w:rPr>
            </w:pPr>
            <w:r w:rsidRPr="000A653E">
              <w:rPr>
                <w:lang w:val="uk-UA"/>
              </w:rPr>
              <w:t>1</w:t>
            </w:r>
            <w:r>
              <w:rPr>
                <w:lang w:val="uk-UA"/>
              </w:rPr>
              <w:t xml:space="preserve"> захід</w:t>
            </w:r>
          </w:p>
        </w:tc>
        <w:tc>
          <w:tcPr>
            <w:tcW w:w="3020" w:type="dxa"/>
          </w:tcPr>
          <w:p w14:paraId="36354B1E" w14:textId="77777777" w:rsidR="008E48A8" w:rsidRPr="000A653E" w:rsidRDefault="008E48A8" w:rsidP="0016182D">
            <w:pPr>
              <w:rPr>
                <w:lang w:val="uk-UA"/>
              </w:rPr>
            </w:pPr>
            <w:r w:rsidRPr="000A653E">
              <w:rPr>
                <w:lang w:val="uk-UA"/>
              </w:rPr>
              <w:t>8 окремих заходів</w:t>
            </w:r>
          </w:p>
        </w:tc>
        <w:tc>
          <w:tcPr>
            <w:tcW w:w="2851" w:type="dxa"/>
          </w:tcPr>
          <w:p w14:paraId="476B087B" w14:textId="75963CA8" w:rsidR="008E48A8" w:rsidRPr="000A653E" w:rsidRDefault="008E48A8" w:rsidP="0016182D">
            <w:pPr>
              <w:rPr>
                <w:lang w:val="uk-UA"/>
              </w:rPr>
            </w:pPr>
            <w:r>
              <w:rPr>
                <w:lang w:val="uk-UA"/>
              </w:rPr>
              <w:t>5</w:t>
            </w:r>
            <w:r w:rsidRPr="000A653E">
              <w:rPr>
                <w:lang w:val="uk-UA"/>
              </w:rPr>
              <w:t xml:space="preserve"> окремих заходів</w:t>
            </w:r>
          </w:p>
        </w:tc>
      </w:tr>
      <w:tr w:rsidR="008E48A8" w:rsidRPr="000A653E" w14:paraId="37DDE1C2" w14:textId="7031437A" w:rsidTr="008E48A8">
        <w:trPr>
          <w:jc w:val="center"/>
        </w:trPr>
        <w:tc>
          <w:tcPr>
            <w:tcW w:w="2134" w:type="dxa"/>
          </w:tcPr>
          <w:p w14:paraId="612FFA28" w14:textId="77777777" w:rsidR="008E48A8" w:rsidRPr="000A653E" w:rsidRDefault="008E48A8" w:rsidP="0016182D">
            <w:pPr>
              <w:rPr>
                <w:lang w:val="uk-UA"/>
              </w:rPr>
            </w:pPr>
            <w:r w:rsidRPr="000A653E">
              <w:rPr>
                <w:lang w:val="uk-UA"/>
              </w:rPr>
              <w:t>Тривалість одного заходу</w:t>
            </w:r>
          </w:p>
        </w:tc>
        <w:tc>
          <w:tcPr>
            <w:tcW w:w="2184" w:type="dxa"/>
          </w:tcPr>
          <w:p w14:paraId="089CC4E6" w14:textId="77777777" w:rsidR="008E48A8" w:rsidRPr="000A653E" w:rsidRDefault="008E48A8" w:rsidP="0016182D">
            <w:pPr>
              <w:rPr>
                <w:lang w:val="uk-UA"/>
              </w:rPr>
            </w:pPr>
            <w:r w:rsidRPr="000A653E">
              <w:rPr>
                <w:lang w:val="uk-UA"/>
              </w:rPr>
              <w:t>5 днів поспіль</w:t>
            </w:r>
          </w:p>
        </w:tc>
        <w:tc>
          <w:tcPr>
            <w:tcW w:w="3020" w:type="dxa"/>
          </w:tcPr>
          <w:p w14:paraId="013A6268" w14:textId="77777777" w:rsidR="008E48A8" w:rsidRPr="000A653E" w:rsidRDefault="008E48A8" w:rsidP="0016182D">
            <w:pPr>
              <w:rPr>
                <w:lang w:val="uk-UA"/>
              </w:rPr>
            </w:pPr>
            <w:r w:rsidRPr="000A653E">
              <w:rPr>
                <w:lang w:val="uk-UA"/>
              </w:rPr>
              <w:t>2 дні (дводенний формат)</w:t>
            </w:r>
          </w:p>
        </w:tc>
        <w:tc>
          <w:tcPr>
            <w:tcW w:w="2851" w:type="dxa"/>
          </w:tcPr>
          <w:p w14:paraId="2CF695A2" w14:textId="0DE15C05" w:rsidR="008E48A8" w:rsidRPr="000A653E" w:rsidRDefault="008E48A8" w:rsidP="0016182D">
            <w:pPr>
              <w:rPr>
                <w:lang w:val="uk-UA"/>
              </w:rPr>
            </w:pPr>
            <w:r w:rsidRPr="000A653E">
              <w:rPr>
                <w:lang w:val="uk-UA"/>
              </w:rPr>
              <w:t>2 дні (дводенний формат)</w:t>
            </w:r>
          </w:p>
        </w:tc>
      </w:tr>
      <w:tr w:rsidR="008E48A8" w:rsidRPr="008E48A8" w14:paraId="1FAEDB79" w14:textId="0AD73A80" w:rsidTr="008E48A8">
        <w:trPr>
          <w:jc w:val="center"/>
        </w:trPr>
        <w:tc>
          <w:tcPr>
            <w:tcW w:w="2134" w:type="dxa"/>
          </w:tcPr>
          <w:p w14:paraId="562AAF3C" w14:textId="77777777" w:rsidR="008E48A8" w:rsidRPr="000A653E" w:rsidRDefault="008E48A8" w:rsidP="0016182D">
            <w:pPr>
              <w:rPr>
                <w:lang w:val="uk-UA"/>
              </w:rPr>
            </w:pPr>
            <w:r w:rsidRPr="000A653E">
              <w:rPr>
                <w:lang w:val="uk-UA"/>
              </w:rPr>
              <w:t>Кількість учасників</w:t>
            </w:r>
          </w:p>
        </w:tc>
        <w:tc>
          <w:tcPr>
            <w:tcW w:w="2184" w:type="dxa"/>
          </w:tcPr>
          <w:p w14:paraId="3E917B58" w14:textId="77777777" w:rsidR="008E48A8" w:rsidRPr="000A653E" w:rsidRDefault="008E48A8" w:rsidP="0016182D">
            <w:pPr>
              <w:rPr>
                <w:lang w:val="uk-UA"/>
              </w:rPr>
            </w:pPr>
            <w:r w:rsidRPr="000A653E">
              <w:rPr>
                <w:lang w:val="uk-UA"/>
              </w:rPr>
              <w:t>12 українських фахівців + 2 іноземні експерти (14 осіб)</w:t>
            </w:r>
          </w:p>
        </w:tc>
        <w:tc>
          <w:tcPr>
            <w:tcW w:w="3020" w:type="dxa"/>
          </w:tcPr>
          <w:p w14:paraId="6E35C40B" w14:textId="77777777" w:rsidR="008E48A8" w:rsidRPr="000A653E" w:rsidRDefault="008E48A8" w:rsidP="0016182D">
            <w:pPr>
              <w:rPr>
                <w:lang w:val="uk-UA"/>
              </w:rPr>
            </w:pPr>
            <w:r w:rsidRPr="000A653E">
              <w:rPr>
                <w:lang w:val="uk-UA"/>
              </w:rPr>
              <w:t>щонайменше 200 учасників сумарно за всі 8 заходів (в середньому ≈ 25 осіб на захід, точна кількість уточнюється Замовником не пізніше ніж за 15 робочих днів до заходу)</w:t>
            </w:r>
          </w:p>
        </w:tc>
        <w:tc>
          <w:tcPr>
            <w:tcW w:w="2851" w:type="dxa"/>
          </w:tcPr>
          <w:p w14:paraId="7DEC0162" w14:textId="1AAB459A" w:rsidR="008E48A8" w:rsidRPr="000A653E" w:rsidRDefault="008E48A8" w:rsidP="0016182D">
            <w:pPr>
              <w:rPr>
                <w:lang w:val="uk-UA"/>
              </w:rPr>
            </w:pPr>
            <w:r w:rsidRPr="008E48A8">
              <w:rPr>
                <w:lang w:val="uk-UA"/>
              </w:rPr>
              <w:t>25 фахівців, що складають 5 повних мультидисциплінарних команд по 5 спеціалістів у кожній</w:t>
            </w:r>
          </w:p>
        </w:tc>
      </w:tr>
      <w:tr w:rsidR="008E48A8" w:rsidRPr="000A653E" w14:paraId="706D44AE" w14:textId="61FE1857" w:rsidTr="008E48A8">
        <w:trPr>
          <w:jc w:val="center"/>
        </w:trPr>
        <w:tc>
          <w:tcPr>
            <w:tcW w:w="2134" w:type="dxa"/>
          </w:tcPr>
          <w:p w14:paraId="12268601" w14:textId="77777777" w:rsidR="008E48A8" w:rsidRPr="000A653E" w:rsidRDefault="008E48A8" w:rsidP="0016182D">
            <w:pPr>
              <w:rPr>
                <w:lang w:val="uk-UA"/>
              </w:rPr>
            </w:pPr>
            <w:r w:rsidRPr="000A653E">
              <w:rPr>
                <w:lang w:val="uk-UA"/>
              </w:rPr>
              <w:t>Категорія учасників</w:t>
            </w:r>
          </w:p>
        </w:tc>
        <w:tc>
          <w:tcPr>
            <w:tcW w:w="2184" w:type="dxa"/>
          </w:tcPr>
          <w:p w14:paraId="6AEF8E0E" w14:textId="77777777" w:rsidR="008E48A8" w:rsidRPr="000A653E" w:rsidRDefault="008E48A8" w:rsidP="0016182D">
            <w:pPr>
              <w:rPr>
                <w:lang w:val="uk-UA"/>
              </w:rPr>
            </w:pPr>
            <w:r w:rsidRPr="000A653E">
              <w:rPr>
                <w:lang w:val="uk-UA"/>
              </w:rPr>
              <w:t>українські фахівці з реабілітації, іноземні експерти-тренери</w:t>
            </w:r>
          </w:p>
        </w:tc>
        <w:tc>
          <w:tcPr>
            <w:tcW w:w="3020" w:type="dxa"/>
          </w:tcPr>
          <w:p w14:paraId="0329AA0C" w14:textId="77777777" w:rsidR="008E48A8" w:rsidRPr="000A653E" w:rsidRDefault="008E48A8" w:rsidP="0016182D">
            <w:pPr>
              <w:rPr>
                <w:lang w:val="uk-UA"/>
              </w:rPr>
            </w:pPr>
            <w:r w:rsidRPr="000A653E">
              <w:rPr>
                <w:lang w:val="uk-UA"/>
              </w:rPr>
              <w:t>фізичні терапевти та ерготерапевти</w:t>
            </w:r>
          </w:p>
        </w:tc>
        <w:tc>
          <w:tcPr>
            <w:tcW w:w="2851" w:type="dxa"/>
          </w:tcPr>
          <w:p w14:paraId="6BF8B8AA" w14:textId="26FEB727" w:rsidR="008E48A8" w:rsidRPr="000A653E" w:rsidRDefault="008E48A8" w:rsidP="0016182D">
            <w:pPr>
              <w:rPr>
                <w:lang w:val="uk-UA"/>
              </w:rPr>
            </w:pPr>
            <w:r w:rsidRPr="000A653E">
              <w:rPr>
                <w:lang w:val="uk-UA"/>
              </w:rPr>
              <w:t>українські фахівці з реабілітації</w:t>
            </w:r>
          </w:p>
        </w:tc>
      </w:tr>
      <w:tr w:rsidR="008E48A8" w:rsidRPr="008E48A8" w14:paraId="60CEB2F9" w14:textId="3FD143A6" w:rsidTr="008E48A8">
        <w:trPr>
          <w:jc w:val="center"/>
        </w:trPr>
        <w:tc>
          <w:tcPr>
            <w:tcW w:w="2134" w:type="dxa"/>
          </w:tcPr>
          <w:p w14:paraId="2AF0BB81" w14:textId="77777777" w:rsidR="008E48A8" w:rsidRPr="000A653E" w:rsidRDefault="008E48A8" w:rsidP="0016182D">
            <w:pPr>
              <w:rPr>
                <w:lang w:val="uk-UA"/>
              </w:rPr>
            </w:pPr>
            <w:r w:rsidRPr="000A653E">
              <w:rPr>
                <w:lang w:val="uk-UA"/>
              </w:rPr>
              <w:t>Переклад</w:t>
            </w:r>
          </w:p>
        </w:tc>
        <w:tc>
          <w:tcPr>
            <w:tcW w:w="2184" w:type="dxa"/>
          </w:tcPr>
          <w:p w14:paraId="70560AAB" w14:textId="77777777" w:rsidR="008E48A8" w:rsidRPr="000A653E" w:rsidRDefault="008E48A8" w:rsidP="0016182D">
            <w:pPr>
              <w:rPr>
                <w:lang w:val="uk-UA"/>
              </w:rPr>
            </w:pPr>
            <w:r w:rsidRPr="000A653E">
              <w:rPr>
                <w:lang w:val="uk-UA"/>
              </w:rPr>
              <w:t>послідовний переклад для іноземних експертів (напрямок [мова] ⇄ українська)</w:t>
            </w:r>
          </w:p>
        </w:tc>
        <w:tc>
          <w:tcPr>
            <w:tcW w:w="3020" w:type="dxa"/>
          </w:tcPr>
          <w:p w14:paraId="2FE434EA" w14:textId="77777777" w:rsidR="008E48A8" w:rsidRPr="000A653E" w:rsidRDefault="008E48A8" w:rsidP="0016182D">
            <w:pPr>
              <w:rPr>
                <w:lang w:val="uk-UA"/>
              </w:rPr>
            </w:pPr>
            <w:r w:rsidRPr="000A653E">
              <w:rPr>
                <w:lang w:val="uk-UA"/>
              </w:rPr>
              <w:t>не вимагається (якщо інше не погоджено окремо)</w:t>
            </w:r>
          </w:p>
        </w:tc>
        <w:tc>
          <w:tcPr>
            <w:tcW w:w="2851" w:type="dxa"/>
          </w:tcPr>
          <w:p w14:paraId="5A1D14BD" w14:textId="107D062E" w:rsidR="008E48A8" w:rsidRPr="000A653E" w:rsidRDefault="008E48A8" w:rsidP="0016182D">
            <w:pPr>
              <w:rPr>
                <w:lang w:val="uk-UA"/>
              </w:rPr>
            </w:pPr>
            <w:r w:rsidRPr="000A653E">
              <w:rPr>
                <w:lang w:val="uk-UA"/>
              </w:rPr>
              <w:t>не вимагається (якщо інше не погоджено окремо)</w:t>
            </w:r>
            <w:bookmarkStart w:id="0" w:name="_GoBack"/>
            <w:bookmarkEnd w:id="0"/>
          </w:p>
        </w:tc>
      </w:tr>
    </w:tbl>
    <w:p w14:paraId="74B4DC9C" w14:textId="77777777" w:rsidR="00C644EA" w:rsidRPr="000A653E" w:rsidRDefault="00C644EA" w:rsidP="0016182D">
      <w:pPr>
        <w:spacing w:after="0" w:line="240" w:lineRule="auto"/>
        <w:rPr>
          <w:lang w:val="uk-UA"/>
        </w:rPr>
      </w:pPr>
    </w:p>
    <w:p w14:paraId="59804AED" w14:textId="77777777" w:rsidR="00C644EA" w:rsidRPr="000A653E" w:rsidRDefault="000A653E" w:rsidP="0016182D">
      <w:pPr>
        <w:pStyle w:val="1"/>
        <w:spacing w:before="0" w:line="240" w:lineRule="auto"/>
        <w:rPr>
          <w:lang w:val="uk-UA"/>
        </w:rPr>
      </w:pPr>
      <w:r w:rsidRPr="000A653E">
        <w:rPr>
          <w:rFonts w:ascii="Times New Roman" w:hAnsi="Times New Roman"/>
          <w:color w:val="000000"/>
          <w:lang w:val="uk-UA"/>
        </w:rPr>
        <w:t>3. Проживання</w:t>
      </w:r>
    </w:p>
    <w:p w14:paraId="29C7427C" w14:textId="63D32C5D" w:rsidR="00C644EA" w:rsidRPr="000A653E" w:rsidRDefault="000A653E" w:rsidP="0016182D">
      <w:pPr>
        <w:pStyle w:val="a0"/>
        <w:spacing w:after="0" w:line="240" w:lineRule="auto"/>
        <w:jc w:val="both"/>
        <w:rPr>
          <w:lang w:val="uk-UA"/>
        </w:rPr>
      </w:pPr>
      <w:r w:rsidRPr="000A653E">
        <w:rPr>
          <w:lang w:val="uk-UA"/>
        </w:rPr>
        <w:t>бронювання номерів у готелі категорії не нижче 3 зірки (або еквівалент) у межах пішої/транспортної доступності (не більше 15 хв.) від місця проведення заходу;</w:t>
      </w:r>
    </w:p>
    <w:p w14:paraId="3759E193" w14:textId="22758929" w:rsidR="000A653E" w:rsidRPr="006C7267" w:rsidRDefault="000A653E" w:rsidP="0016182D">
      <w:pPr>
        <w:pStyle w:val="a0"/>
        <w:spacing w:after="0" w:line="240" w:lineRule="auto"/>
        <w:jc w:val="both"/>
        <w:rPr>
          <w:lang w:val="uk-UA"/>
        </w:rPr>
      </w:pPr>
      <w:r w:rsidRPr="006C7267">
        <w:rPr>
          <w:lang w:val="uk-UA"/>
        </w:rPr>
        <w:lastRenderedPageBreak/>
        <w:t>будівля готелю повинна бути розташована на відстані 100–300 м (або більше) від об’єктів критичної інфраструктури та мати облаштоване укриття (або укриття має бути розташоване у безпосередній близькості);</w:t>
      </w:r>
    </w:p>
    <w:p w14:paraId="5C4E6776" w14:textId="77777777" w:rsidR="00C644EA" w:rsidRPr="000A653E" w:rsidRDefault="000A653E" w:rsidP="0016182D">
      <w:pPr>
        <w:pStyle w:val="a0"/>
        <w:spacing w:after="0" w:line="240" w:lineRule="auto"/>
        <w:jc w:val="both"/>
        <w:rPr>
          <w:lang w:val="uk-UA"/>
        </w:rPr>
      </w:pPr>
      <w:r w:rsidRPr="000A653E">
        <w:rPr>
          <w:lang w:val="uk-UA"/>
        </w:rPr>
        <w:t>розміщення учасників — в окремих одномісних номерах (за потреби учасника — можливе двомісне розміщення за письмовою згодою обох осіб, які проживають);</w:t>
      </w:r>
    </w:p>
    <w:p w14:paraId="46E40098" w14:textId="77777777" w:rsidR="00C644EA" w:rsidRPr="000A653E" w:rsidRDefault="000A653E" w:rsidP="0016182D">
      <w:pPr>
        <w:pStyle w:val="a0"/>
        <w:spacing w:after="0" w:line="240" w:lineRule="auto"/>
        <w:jc w:val="both"/>
        <w:rPr>
          <w:lang w:val="uk-UA"/>
        </w:rPr>
      </w:pPr>
      <w:r w:rsidRPr="000A653E">
        <w:rPr>
          <w:lang w:val="uk-UA"/>
        </w:rPr>
        <w:t>період бронювання: з дня заїзду (напередодні першого дня заходу, за потреби учасника доїхати з іншого регіону) до дня виїзду (наступного дня після завершення заходу для учасників, які виїжджають вранці);</w:t>
      </w:r>
    </w:p>
    <w:p w14:paraId="33F7A22F" w14:textId="77777777" w:rsidR="00C644EA" w:rsidRPr="000A653E" w:rsidRDefault="000A653E" w:rsidP="0016182D">
      <w:pPr>
        <w:pStyle w:val="a0"/>
        <w:spacing w:after="0" w:line="240" w:lineRule="auto"/>
        <w:jc w:val="both"/>
        <w:rPr>
          <w:lang w:val="uk-UA"/>
        </w:rPr>
      </w:pPr>
      <w:r w:rsidRPr="000A653E">
        <w:rPr>
          <w:lang w:val="uk-UA"/>
        </w:rPr>
        <w:t>наявність сніданку у вартості проживання (якщо сніданок не входить до окремого пункту «Харчування»);</w:t>
      </w:r>
    </w:p>
    <w:p w14:paraId="3E15AC2E" w14:textId="77777777" w:rsidR="00C644EA" w:rsidRPr="000A653E" w:rsidRDefault="000A653E" w:rsidP="0016182D">
      <w:pPr>
        <w:pStyle w:val="a0"/>
        <w:spacing w:after="0" w:line="240" w:lineRule="auto"/>
        <w:jc w:val="both"/>
        <w:rPr>
          <w:lang w:val="uk-UA"/>
        </w:rPr>
      </w:pPr>
      <w:r w:rsidRPr="000A653E">
        <w:rPr>
          <w:lang w:val="uk-UA"/>
        </w:rPr>
        <w:t>для іноземних експертів — готель відповідного рівня комфорту з урахуванням вимог безпеки та можливості онлайн-зв’язку (Wi-Fi у номері);</w:t>
      </w:r>
    </w:p>
    <w:p w14:paraId="607B4902" w14:textId="77777777" w:rsidR="00C644EA" w:rsidRPr="000A653E" w:rsidRDefault="000A653E" w:rsidP="0016182D">
      <w:pPr>
        <w:pStyle w:val="a0"/>
        <w:spacing w:after="0" w:line="240" w:lineRule="auto"/>
        <w:jc w:val="both"/>
        <w:rPr>
          <w:lang w:val="uk-UA"/>
        </w:rPr>
      </w:pPr>
      <w:r w:rsidRPr="000A653E">
        <w:rPr>
          <w:lang w:val="uk-UA"/>
        </w:rPr>
        <w:t>Виконавець забезпечує бронювання, підтвердження заброньованих місць і оплату проживання за рахунками готелю (за фактом), з наданням Замовнику підтвердних документів (рахунки, акти).</w:t>
      </w:r>
    </w:p>
    <w:p w14:paraId="0B9CFF1A" w14:textId="77777777" w:rsidR="0016182D" w:rsidRPr="000A653E" w:rsidRDefault="0016182D" w:rsidP="0016182D">
      <w:pPr>
        <w:pStyle w:val="a0"/>
        <w:numPr>
          <w:ilvl w:val="0"/>
          <w:numId w:val="0"/>
        </w:numPr>
        <w:spacing w:after="0" w:line="240" w:lineRule="auto"/>
        <w:ind w:left="360"/>
        <w:jc w:val="both"/>
        <w:rPr>
          <w:lang w:val="uk-UA"/>
        </w:rPr>
      </w:pPr>
    </w:p>
    <w:p w14:paraId="74ACCBEF" w14:textId="77777777" w:rsidR="00C644EA" w:rsidRPr="000A653E" w:rsidRDefault="000A653E" w:rsidP="0016182D">
      <w:pPr>
        <w:pStyle w:val="1"/>
        <w:spacing w:before="0" w:line="240" w:lineRule="auto"/>
        <w:rPr>
          <w:lang w:val="uk-UA"/>
        </w:rPr>
      </w:pPr>
      <w:r w:rsidRPr="000A653E">
        <w:rPr>
          <w:rFonts w:ascii="Times New Roman" w:hAnsi="Times New Roman"/>
          <w:color w:val="000000"/>
          <w:lang w:val="uk-UA"/>
        </w:rPr>
        <w:t>4. Транспорт</w:t>
      </w:r>
    </w:p>
    <w:p w14:paraId="2418737B" w14:textId="77777777" w:rsidR="00C644EA" w:rsidRPr="000A653E" w:rsidRDefault="000A653E" w:rsidP="0016182D">
      <w:pPr>
        <w:pStyle w:val="a0"/>
        <w:spacing w:after="0" w:line="240" w:lineRule="auto"/>
        <w:jc w:val="both"/>
        <w:rPr>
          <w:lang w:val="uk-UA"/>
        </w:rPr>
      </w:pPr>
      <w:r w:rsidRPr="000A653E">
        <w:rPr>
          <w:lang w:val="uk-UA"/>
        </w:rPr>
        <w:t>організація трансферу учасників та тренерів від місця відправлення (обласний центр/місто проживання) до місця проведення заходу і назад, або компенсація вартості проїзних квитків (потяг/автобус економ-класу, за погодженням із Замовником);</w:t>
      </w:r>
    </w:p>
    <w:p w14:paraId="5912FF7D" w14:textId="77777777" w:rsidR="00C644EA" w:rsidRPr="000A653E" w:rsidRDefault="000A653E" w:rsidP="0016182D">
      <w:pPr>
        <w:pStyle w:val="a0"/>
        <w:spacing w:after="0" w:line="240" w:lineRule="auto"/>
        <w:jc w:val="both"/>
        <w:rPr>
          <w:lang w:val="uk-UA"/>
        </w:rPr>
      </w:pPr>
      <w:r w:rsidRPr="000A653E">
        <w:rPr>
          <w:lang w:val="uk-UA"/>
        </w:rPr>
        <w:t>для іноземних експертів — організація трансферу від пункту перетину державного кордону/аеропорту до місця проведення заходу і у зворотному напрямку;</w:t>
      </w:r>
    </w:p>
    <w:p w14:paraId="48E03507" w14:textId="77777777" w:rsidR="00C644EA" w:rsidRPr="000A653E" w:rsidRDefault="000A653E" w:rsidP="0016182D">
      <w:pPr>
        <w:pStyle w:val="a0"/>
        <w:spacing w:after="0" w:line="240" w:lineRule="auto"/>
        <w:jc w:val="both"/>
        <w:rPr>
          <w:lang w:val="uk-UA"/>
        </w:rPr>
      </w:pPr>
      <w:r w:rsidRPr="000A653E">
        <w:rPr>
          <w:lang w:val="uk-UA"/>
        </w:rPr>
        <w:t>трансфер «останньої милі» (готель – місце проведення заходу – готель) на кожен день заходу, якщо відстань унеможливлює пішу доступність;</w:t>
      </w:r>
    </w:p>
    <w:p w14:paraId="5C5F267B" w14:textId="77777777" w:rsidR="00C644EA" w:rsidRPr="000A653E" w:rsidRDefault="000A653E" w:rsidP="0016182D">
      <w:pPr>
        <w:pStyle w:val="a0"/>
        <w:spacing w:after="0" w:line="240" w:lineRule="auto"/>
        <w:jc w:val="both"/>
        <w:rPr>
          <w:lang w:val="uk-UA"/>
        </w:rPr>
      </w:pPr>
      <w:r w:rsidRPr="000A653E">
        <w:rPr>
          <w:lang w:val="uk-UA"/>
        </w:rPr>
        <w:t>усі транспортні послуги мають відповідати вимогам безпеки, у т.ч. з урахуванням безпекової ситуації в регіоні проведення заходу.</w:t>
      </w:r>
    </w:p>
    <w:p w14:paraId="668A1790" w14:textId="77777777" w:rsidR="0016182D" w:rsidRPr="000A653E" w:rsidRDefault="0016182D" w:rsidP="0016182D">
      <w:pPr>
        <w:pStyle w:val="a0"/>
        <w:numPr>
          <w:ilvl w:val="0"/>
          <w:numId w:val="0"/>
        </w:numPr>
        <w:spacing w:after="0" w:line="240" w:lineRule="auto"/>
        <w:ind w:left="360"/>
        <w:jc w:val="both"/>
        <w:rPr>
          <w:lang w:val="uk-UA"/>
        </w:rPr>
      </w:pPr>
    </w:p>
    <w:p w14:paraId="49542DD3" w14:textId="77777777" w:rsidR="00C644EA" w:rsidRPr="000A653E" w:rsidRDefault="000A653E" w:rsidP="0016182D">
      <w:pPr>
        <w:pStyle w:val="1"/>
        <w:spacing w:before="0" w:line="240" w:lineRule="auto"/>
        <w:rPr>
          <w:lang w:val="uk-UA"/>
        </w:rPr>
      </w:pPr>
      <w:r w:rsidRPr="000A653E">
        <w:rPr>
          <w:rFonts w:ascii="Times New Roman" w:hAnsi="Times New Roman"/>
          <w:color w:val="000000"/>
          <w:lang w:val="uk-UA"/>
        </w:rPr>
        <w:t>5. Харчування (кейтеринг)</w:t>
      </w:r>
    </w:p>
    <w:p w14:paraId="3D6EDC22" w14:textId="77777777" w:rsidR="00C644EA" w:rsidRPr="000A653E" w:rsidRDefault="000A653E" w:rsidP="0016182D">
      <w:pPr>
        <w:pStyle w:val="a0"/>
        <w:spacing w:after="0" w:line="240" w:lineRule="auto"/>
        <w:jc w:val="both"/>
        <w:rPr>
          <w:lang w:val="uk-UA"/>
        </w:rPr>
      </w:pPr>
      <w:r w:rsidRPr="000A653E">
        <w:rPr>
          <w:lang w:val="uk-UA"/>
        </w:rPr>
        <w:t>повний комплекс кейтерингу протягом усіх днів навчання: сніданок (якщо не включений у вартість проживання), обід, дві кава-паузи (до обіду і після обіду) на кожен навчальний день;</w:t>
      </w:r>
    </w:p>
    <w:p w14:paraId="60FFCE14" w14:textId="77777777" w:rsidR="00C644EA" w:rsidRPr="000A653E" w:rsidRDefault="000A653E" w:rsidP="0016182D">
      <w:pPr>
        <w:pStyle w:val="a0"/>
        <w:spacing w:after="0" w:line="240" w:lineRule="auto"/>
        <w:jc w:val="both"/>
        <w:rPr>
          <w:lang w:val="uk-UA"/>
        </w:rPr>
      </w:pPr>
      <w:r w:rsidRPr="000A653E">
        <w:rPr>
          <w:lang w:val="uk-UA"/>
        </w:rPr>
        <w:t>для багатоденних заходів (Блок А) — також вечеря в дні проведення тренінгу;</w:t>
      </w:r>
    </w:p>
    <w:p w14:paraId="5091CB47" w14:textId="77777777" w:rsidR="00C644EA" w:rsidRPr="000A653E" w:rsidRDefault="000A653E" w:rsidP="0016182D">
      <w:pPr>
        <w:pStyle w:val="a0"/>
        <w:spacing w:after="0" w:line="240" w:lineRule="auto"/>
        <w:jc w:val="both"/>
        <w:rPr>
          <w:lang w:val="uk-UA"/>
        </w:rPr>
      </w:pPr>
      <w:r w:rsidRPr="000A653E">
        <w:rPr>
          <w:lang w:val="uk-UA"/>
        </w:rPr>
        <w:t>меню повинно враховувати можливі дієтичні обмеження учасників (вегетаріанське/безглютенове харчування тощо) за попереднім погодженням списку таких потреб із Замовником;</w:t>
      </w:r>
    </w:p>
    <w:p w14:paraId="04303FDC" w14:textId="77777777" w:rsidR="00C644EA" w:rsidRPr="000A653E" w:rsidRDefault="000A653E" w:rsidP="0016182D">
      <w:pPr>
        <w:pStyle w:val="a0"/>
        <w:spacing w:after="0" w:line="240" w:lineRule="auto"/>
        <w:jc w:val="both"/>
        <w:rPr>
          <w:lang w:val="uk-UA"/>
        </w:rPr>
      </w:pPr>
      <w:r w:rsidRPr="000A653E">
        <w:rPr>
          <w:lang w:val="uk-UA"/>
        </w:rPr>
        <w:t>харчування організовується безпосередньо у місці проведення заходу або в безпосередній близькості від нього.</w:t>
      </w:r>
    </w:p>
    <w:p w14:paraId="7CBC50FB" w14:textId="77777777" w:rsidR="0016182D" w:rsidRPr="000A653E" w:rsidRDefault="0016182D" w:rsidP="0016182D">
      <w:pPr>
        <w:pStyle w:val="a0"/>
        <w:numPr>
          <w:ilvl w:val="0"/>
          <w:numId w:val="0"/>
        </w:numPr>
        <w:spacing w:after="0" w:line="240" w:lineRule="auto"/>
        <w:ind w:left="360"/>
        <w:jc w:val="both"/>
        <w:rPr>
          <w:lang w:val="uk-UA"/>
        </w:rPr>
      </w:pPr>
    </w:p>
    <w:p w14:paraId="4A0E7EF6" w14:textId="77777777" w:rsidR="00C644EA" w:rsidRPr="000A653E" w:rsidRDefault="000A653E" w:rsidP="0016182D">
      <w:pPr>
        <w:pStyle w:val="1"/>
        <w:spacing w:before="0" w:line="240" w:lineRule="auto"/>
        <w:rPr>
          <w:lang w:val="uk-UA"/>
        </w:rPr>
      </w:pPr>
      <w:r w:rsidRPr="000A653E">
        <w:rPr>
          <w:rFonts w:ascii="Times New Roman" w:hAnsi="Times New Roman"/>
          <w:color w:val="000000"/>
          <w:lang w:val="uk-UA"/>
        </w:rPr>
        <w:t>6. Послуги перекладу</w:t>
      </w:r>
    </w:p>
    <w:p w14:paraId="29298B5F" w14:textId="77777777" w:rsidR="00C644EA" w:rsidRPr="000A653E" w:rsidRDefault="000A653E" w:rsidP="0016182D">
      <w:pPr>
        <w:pStyle w:val="a0"/>
        <w:spacing w:after="0" w:line="240" w:lineRule="auto"/>
        <w:jc w:val="both"/>
        <w:rPr>
          <w:lang w:val="uk-UA"/>
        </w:rPr>
      </w:pPr>
      <w:r w:rsidRPr="000A653E">
        <w:rPr>
          <w:lang w:val="uk-UA"/>
        </w:rPr>
        <w:t>забезпечення послідовного перекладу для іноземних експертів протягом усіх днів Блоку А (тренінг для тренерів);</w:t>
      </w:r>
    </w:p>
    <w:p w14:paraId="39D4737C" w14:textId="77777777" w:rsidR="00C644EA" w:rsidRPr="000A653E" w:rsidRDefault="000A653E" w:rsidP="0016182D">
      <w:pPr>
        <w:pStyle w:val="a0"/>
        <w:spacing w:after="0" w:line="240" w:lineRule="auto"/>
        <w:jc w:val="both"/>
        <w:rPr>
          <w:lang w:val="uk-UA"/>
        </w:rPr>
      </w:pPr>
      <w:r w:rsidRPr="000A653E">
        <w:rPr>
          <w:lang w:val="uk-UA"/>
        </w:rPr>
        <w:t>перекладач повинен мати підтверджений досвід послідовного перекладу у сфері охорони здоров’я/реабілітації (перевага надається профільному досвіду);</w:t>
      </w:r>
    </w:p>
    <w:p w14:paraId="265F29D3" w14:textId="77777777" w:rsidR="00C644EA" w:rsidRPr="000A653E" w:rsidRDefault="000A653E" w:rsidP="0016182D">
      <w:pPr>
        <w:pStyle w:val="a0"/>
        <w:spacing w:after="0" w:line="240" w:lineRule="auto"/>
        <w:jc w:val="both"/>
        <w:rPr>
          <w:lang w:val="uk-UA"/>
        </w:rPr>
      </w:pPr>
      <w:r w:rsidRPr="000A653E">
        <w:rPr>
          <w:lang w:val="uk-UA"/>
        </w:rPr>
        <w:t>за потреби — забезпечення письмового перекладу окремих роздаткових матеріалів (обсяг узгоджується окремо із Замовником).</w:t>
      </w:r>
    </w:p>
    <w:p w14:paraId="24619B9D" w14:textId="77777777" w:rsidR="0016182D" w:rsidRPr="000A653E" w:rsidRDefault="0016182D" w:rsidP="0016182D">
      <w:pPr>
        <w:pStyle w:val="a0"/>
        <w:numPr>
          <w:ilvl w:val="0"/>
          <w:numId w:val="0"/>
        </w:numPr>
        <w:spacing w:after="0" w:line="240" w:lineRule="auto"/>
        <w:ind w:left="360"/>
        <w:jc w:val="both"/>
        <w:rPr>
          <w:lang w:val="uk-UA"/>
        </w:rPr>
      </w:pPr>
    </w:p>
    <w:p w14:paraId="2BD44BF6" w14:textId="77777777" w:rsidR="00C644EA" w:rsidRPr="000A653E" w:rsidRDefault="000A653E" w:rsidP="0016182D">
      <w:pPr>
        <w:pStyle w:val="1"/>
        <w:spacing w:before="0" w:line="240" w:lineRule="auto"/>
        <w:rPr>
          <w:lang w:val="uk-UA"/>
        </w:rPr>
      </w:pPr>
      <w:r w:rsidRPr="000A653E">
        <w:rPr>
          <w:rFonts w:ascii="Times New Roman" w:hAnsi="Times New Roman"/>
          <w:color w:val="000000"/>
          <w:lang w:val="uk-UA"/>
        </w:rPr>
        <w:t>7. Адміністрування та звітність</w:t>
      </w:r>
    </w:p>
    <w:p w14:paraId="0A72DAB6" w14:textId="77777777" w:rsidR="00C644EA" w:rsidRPr="000A653E" w:rsidRDefault="000A653E" w:rsidP="0016182D">
      <w:pPr>
        <w:pStyle w:val="a0"/>
        <w:spacing w:after="0" w:line="240" w:lineRule="auto"/>
        <w:jc w:val="both"/>
        <w:rPr>
          <w:lang w:val="uk-UA"/>
        </w:rPr>
      </w:pPr>
      <w:r w:rsidRPr="000A653E">
        <w:rPr>
          <w:lang w:val="uk-UA"/>
        </w:rPr>
        <w:t>реєстрація учасників до початку та в день проведення заходу;</w:t>
      </w:r>
    </w:p>
    <w:p w14:paraId="733D3063" w14:textId="77777777" w:rsidR="00C644EA" w:rsidRPr="000A653E" w:rsidRDefault="000A653E" w:rsidP="0016182D">
      <w:pPr>
        <w:pStyle w:val="a0"/>
        <w:spacing w:after="0" w:line="240" w:lineRule="auto"/>
        <w:jc w:val="both"/>
        <w:rPr>
          <w:lang w:val="uk-UA"/>
        </w:rPr>
      </w:pPr>
      <w:r w:rsidRPr="000A653E">
        <w:rPr>
          <w:lang w:val="uk-UA"/>
        </w:rPr>
        <w:lastRenderedPageBreak/>
        <w:t>ведення та збір обов’язкових списків учасників із фізичними підписами (реєстраційні форми, форми відвідуваності) за формою, погодженою із Замовником, для фінальної звітності перед донором (IREX);</w:t>
      </w:r>
    </w:p>
    <w:p w14:paraId="0D762F9E" w14:textId="77777777" w:rsidR="00C644EA" w:rsidRPr="000A653E" w:rsidRDefault="000A653E" w:rsidP="0016182D">
      <w:pPr>
        <w:pStyle w:val="a0"/>
        <w:spacing w:after="0" w:line="240" w:lineRule="auto"/>
        <w:jc w:val="both"/>
        <w:rPr>
          <w:lang w:val="uk-UA"/>
        </w:rPr>
      </w:pPr>
      <w:r w:rsidRPr="000A653E">
        <w:rPr>
          <w:lang w:val="uk-UA"/>
        </w:rPr>
        <w:t>фотофіксація заходу (за запитом Замовника) для звітних матеріалів проєкту;</w:t>
      </w:r>
    </w:p>
    <w:p w14:paraId="0A0D7839" w14:textId="77777777" w:rsidR="00C644EA" w:rsidRPr="000A653E" w:rsidRDefault="000A653E" w:rsidP="0016182D">
      <w:pPr>
        <w:pStyle w:val="a0"/>
        <w:spacing w:after="0" w:line="240" w:lineRule="auto"/>
        <w:jc w:val="both"/>
        <w:rPr>
          <w:lang w:val="uk-UA"/>
        </w:rPr>
      </w:pPr>
      <w:r w:rsidRPr="000A653E">
        <w:rPr>
          <w:lang w:val="uk-UA"/>
        </w:rPr>
        <w:t>надання Замовнику протягом 5 робочих днів після завершення кожного заходу повного пакету звітних документів: оригінали/скановані копії списків з підписами, підтвердні фінансові документи (рахунки, акти виконаних робіт/наданих послуг) щодо проживання, харчування, транспорту, перекладу;</w:t>
      </w:r>
    </w:p>
    <w:p w14:paraId="41C9E28C" w14:textId="77777777" w:rsidR="00C644EA" w:rsidRPr="000A653E" w:rsidRDefault="000A653E" w:rsidP="0016182D">
      <w:pPr>
        <w:pStyle w:val="a0"/>
        <w:spacing w:after="0" w:line="240" w:lineRule="auto"/>
        <w:jc w:val="both"/>
        <w:rPr>
          <w:lang w:val="uk-UA"/>
        </w:rPr>
      </w:pPr>
      <w:r w:rsidRPr="000A653E">
        <w:rPr>
          <w:lang w:val="uk-UA"/>
        </w:rPr>
        <w:t>наявність команди координаторів (не менше одного координатора на кожен захід) для адміністрування на місці проведення.</w:t>
      </w:r>
    </w:p>
    <w:p w14:paraId="13CF2B15" w14:textId="77777777" w:rsidR="0016182D" w:rsidRPr="000A653E" w:rsidRDefault="0016182D" w:rsidP="0016182D">
      <w:pPr>
        <w:pStyle w:val="a0"/>
        <w:numPr>
          <w:ilvl w:val="0"/>
          <w:numId w:val="0"/>
        </w:numPr>
        <w:spacing w:after="0" w:line="240" w:lineRule="auto"/>
        <w:ind w:left="360"/>
        <w:jc w:val="both"/>
        <w:rPr>
          <w:lang w:val="uk-UA"/>
        </w:rPr>
      </w:pPr>
    </w:p>
    <w:p w14:paraId="7904E567" w14:textId="77777777" w:rsidR="00C644EA" w:rsidRPr="000A653E" w:rsidRDefault="000A653E" w:rsidP="0016182D">
      <w:pPr>
        <w:pStyle w:val="1"/>
        <w:spacing w:before="0" w:line="240" w:lineRule="auto"/>
        <w:rPr>
          <w:lang w:val="uk-UA"/>
        </w:rPr>
      </w:pPr>
      <w:r w:rsidRPr="000A653E">
        <w:rPr>
          <w:rFonts w:ascii="Times New Roman" w:hAnsi="Times New Roman"/>
          <w:color w:val="000000"/>
          <w:lang w:val="uk-UA"/>
        </w:rPr>
        <w:t>8. Вимоги до фінансової звітності та розбивки вартості</w:t>
      </w:r>
    </w:p>
    <w:p w14:paraId="53691CEA" w14:textId="02871AE6" w:rsidR="0016182D" w:rsidRPr="000A653E" w:rsidRDefault="000A653E" w:rsidP="0016182D">
      <w:pPr>
        <w:spacing w:after="0" w:line="240" w:lineRule="auto"/>
        <w:ind w:firstLine="851"/>
        <w:jc w:val="both"/>
        <w:rPr>
          <w:lang w:val="uk-UA"/>
        </w:rPr>
      </w:pPr>
      <w:r w:rsidRPr="000A653E">
        <w:rPr>
          <w:lang w:val="uk-UA"/>
        </w:rPr>
        <w:t>Виконавець зобов’язаний вести окремий облік вартості товарів/послуг третіх сторін (проживання, харчування, транспорт, переклад, поліграфія тощо), придбаних в інтересах Замовника, та вартості власне своїх послуг з логістичного супроводу і координації. За кожним заходом Виконавець надає Замовнику фінансовий звіт з розбивкою за цими двома категоріями, підтверджений первинними документами (рахунки, накладні, акти) щодо першої категорії. Ця вимога є наскрізною для цінової пропозиції (додаток 3), договору (додаток 7) та фінальної звітності за кожним заходом.</w:t>
      </w:r>
    </w:p>
    <w:p w14:paraId="1985085B" w14:textId="77777777" w:rsidR="0016182D" w:rsidRPr="000A653E" w:rsidRDefault="0016182D" w:rsidP="0016182D">
      <w:pPr>
        <w:spacing w:after="0" w:line="240" w:lineRule="auto"/>
        <w:jc w:val="both"/>
        <w:rPr>
          <w:lang w:val="uk-UA"/>
        </w:rPr>
      </w:pPr>
    </w:p>
    <w:p w14:paraId="2B5FD3FA" w14:textId="77777777" w:rsidR="00C644EA" w:rsidRPr="000A653E" w:rsidRDefault="000A653E" w:rsidP="0016182D">
      <w:pPr>
        <w:pStyle w:val="1"/>
        <w:spacing w:before="0" w:line="240" w:lineRule="auto"/>
        <w:rPr>
          <w:lang w:val="uk-UA"/>
        </w:rPr>
      </w:pPr>
      <w:r w:rsidRPr="000A653E">
        <w:rPr>
          <w:rFonts w:ascii="Times New Roman" w:hAnsi="Times New Roman"/>
          <w:color w:val="000000"/>
          <w:lang w:val="uk-UA"/>
        </w:rPr>
        <w:t>9. Контроль якості</w:t>
      </w:r>
    </w:p>
    <w:p w14:paraId="1653E3F5" w14:textId="77777777" w:rsidR="00C644EA" w:rsidRPr="000A653E" w:rsidRDefault="000A653E" w:rsidP="0016182D">
      <w:pPr>
        <w:spacing w:after="0" w:line="240" w:lineRule="auto"/>
        <w:ind w:firstLine="851"/>
        <w:jc w:val="both"/>
        <w:rPr>
          <w:lang w:val="uk-UA"/>
        </w:rPr>
      </w:pPr>
      <w:r w:rsidRPr="000A653E">
        <w:rPr>
          <w:lang w:val="uk-UA"/>
        </w:rPr>
        <w:t>Замовник залишає за собою право проводити вибіркову перевірку якості наданих послуг під час заходів (перевірка умов проживання, якості харчування, наявності координаторів на місці) та вимагати невідкладного усунення виявлених недоліків за рахунок Виконавця.</w:t>
      </w:r>
    </w:p>
    <w:sectPr w:rsidR="00C644EA" w:rsidRPr="000A653E" w:rsidSect="00034616">
      <w:pgSz w:w="12240" w:h="15840"/>
      <w:pgMar w:top="1134" w:right="850"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FA74D9EC"/>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num>
  <w:num w:numId="11">
    <w:abstractNumId w:val="8"/>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653E"/>
    <w:rsid w:val="0015074B"/>
    <w:rsid w:val="0016182D"/>
    <w:rsid w:val="0029639D"/>
    <w:rsid w:val="00326F90"/>
    <w:rsid w:val="006C7267"/>
    <w:rsid w:val="008E48A8"/>
    <w:rsid w:val="00AA1D8D"/>
    <w:rsid w:val="00B47730"/>
    <w:rsid w:val="00C644EA"/>
    <w:rsid w:val="00CB0664"/>
    <w:rsid w:val="00ED29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93C9F"/>
  <w14:defaultImageDpi w14:val="300"/>
  <w15:docId w15:val="{3DA9A920-335A-8E4A-89F4-4D15302A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cs="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EFCC7-BB50-43BC-B3FC-A2DA45F8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3927</Words>
  <Characters>2239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bakumkhristina@gmail.com</cp:lastModifiedBy>
  <cp:revision>8</cp:revision>
  <dcterms:created xsi:type="dcterms:W3CDTF">2026-07-05T12:59:00Z</dcterms:created>
  <dcterms:modified xsi:type="dcterms:W3CDTF">2026-07-07T14:36:00Z</dcterms:modified>
  <cp:category/>
</cp:coreProperties>
</file>