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pPr>
      <w:r w:rsidDel="00000000" w:rsidR="00000000" w:rsidRPr="00000000">
        <w:rPr>
          <w:b w:val="1"/>
          <w:bCs w:val="1"/>
          <w:sz w:val="32"/>
          <w:szCs w:val="32"/>
          <w:rtl w:val="0"/>
        </w:rPr>
        <w:t xml:space="preserve">ОГОЛОШЕННЯ ПРО ВІДКРИТИЙ ТЕНДЕР</w:t>
      </w:r>
      <w:r w:rsidDel="00000000" w:rsidR="00000000" w:rsidRPr="00000000">
        <w:rPr>
          <w:rtl w:val="0"/>
        </w:rPr>
      </w:r>
    </w:p>
    <w:p w:rsidR="00000000" w:rsidDel="00000000" w:rsidP="00000000" w:rsidRDefault="00000000" w:rsidRPr="00000000" w14:paraId="00000002">
      <w:pPr>
        <w:spacing w:after="0" w:line="240" w:lineRule="auto"/>
        <w:jc w:val="center"/>
        <w:rPr/>
      </w:pPr>
      <w:r w:rsidDel="00000000" w:rsidR="00000000" w:rsidRPr="00000000">
        <w:rPr>
          <w:i w:val="1"/>
          <w:iCs w:val="1"/>
          <w:rtl w:val="0"/>
        </w:rPr>
        <w:t xml:space="preserve">на закупівлю послуг з логістичного та організаційного забезпечення тренінгів</w:t>
      </w:r>
      <w:r w:rsidDel="00000000" w:rsidR="00000000" w:rsidRPr="00000000">
        <w:rPr>
          <w:rtl w:val="0"/>
        </w:rPr>
      </w:r>
    </w:p>
    <w:p w:rsidR="00000000" w:rsidDel="00000000" w:rsidP="00000000" w:rsidRDefault="00000000" w:rsidRPr="00000000" w14:paraId="00000003">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1. Інформація про замовника</w:t>
      </w:r>
      <w:r w:rsidDel="00000000" w:rsidR="00000000" w:rsidRPr="00000000">
        <w:rPr>
          <w:rtl w:val="0"/>
        </w:rPr>
      </w:r>
    </w:p>
    <w:tbl>
      <w:tblPr>
        <w:tblStyle w:val="Table1"/>
        <w:tblW w:w="90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2"/>
        <w:gridCol w:w="5669"/>
        <w:tblGridChange w:id="0">
          <w:tblGrid>
            <w:gridCol w:w="3402"/>
            <w:gridCol w:w="5669"/>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r>
          </w:p>
        </w:tc>
        <w:tc>
          <w:tcPr/>
          <w:p w:rsidR="00000000" w:rsidDel="00000000" w:rsidP="00000000" w:rsidRDefault="00000000" w:rsidRPr="00000000" w14:paraId="00000005">
            <w:pPr>
              <w:rPr/>
            </w:pPr>
            <w:r w:rsidDel="00000000" w:rsidR="00000000" w:rsidRPr="00000000">
              <w:rPr>
                <w:rtl w:val="0"/>
              </w:rPr>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Замовник</w:t>
            </w:r>
          </w:p>
        </w:tc>
        <w:tc>
          <w:tcPr/>
          <w:p w:rsidR="00000000" w:rsidDel="00000000" w:rsidP="00000000" w:rsidRDefault="00000000" w:rsidRPr="00000000" w14:paraId="00000007">
            <w:pPr>
              <w:rPr/>
            </w:pPr>
            <w:r w:rsidDel="00000000" w:rsidR="00000000" w:rsidRPr="00000000">
              <w:rPr>
                <w:rtl w:val="0"/>
              </w:rPr>
              <w:t xml:space="preserve">Благодійна організація «Благодійний фонд «Протез Хаб» (Protez Hub)</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Проєкт</w:t>
            </w:r>
          </w:p>
        </w:tc>
        <w:tc>
          <w:tcPr/>
          <w:p w:rsidR="00000000" w:rsidDel="00000000" w:rsidP="00000000" w:rsidRDefault="00000000" w:rsidRPr="00000000" w14:paraId="00000009">
            <w:pPr>
              <w:jc w:val="both"/>
              <w:rPr/>
            </w:pPr>
            <w:r w:rsidDel="00000000" w:rsidR="00000000" w:rsidRPr="00000000">
              <w:rPr>
                <w:rtl w:val="0"/>
              </w:rPr>
              <w:t xml:space="preserve">«ЯКІСНИЙ РУХ», реалізується за підтримки Програми IREX «Український фонд швидкого реагування»</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Місцезнаходження замовника</w:t>
            </w:r>
          </w:p>
        </w:tc>
        <w:tc>
          <w:tcPr/>
          <w:p w:rsidR="00000000" w:rsidDel="00000000" w:rsidP="00000000" w:rsidRDefault="00000000" w:rsidRPr="00000000" w14:paraId="0000000B">
            <w:pPr>
              <w:rPr/>
            </w:pPr>
            <w:r w:rsidDel="00000000" w:rsidR="00000000" w:rsidRPr="00000000">
              <w:rPr>
                <w:rtl w:val="0"/>
              </w:rPr>
              <w:t xml:space="preserve">03056, місто Київ, вул. Борщагівська, </w:t>
            </w:r>
          </w:p>
          <w:p w:rsidR="00000000" w:rsidDel="00000000" w:rsidP="00000000" w:rsidRDefault="00000000" w:rsidRPr="00000000" w14:paraId="0000000C">
            <w:pPr>
              <w:rPr/>
            </w:pPr>
            <w:r w:rsidDel="00000000" w:rsidR="00000000" w:rsidRPr="00000000">
              <w:rPr>
                <w:rtl w:val="0"/>
              </w:rPr>
              <w:t xml:space="preserve">буд. 154 оф. 4-20</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Код ЄДРПОУ</w:t>
            </w:r>
          </w:p>
        </w:tc>
        <w:tc>
          <w:tcPr/>
          <w:p w:rsidR="00000000" w:rsidDel="00000000" w:rsidP="00000000" w:rsidRDefault="00000000" w:rsidRPr="00000000" w14:paraId="0000000E">
            <w:pPr>
              <w:rPr/>
            </w:pPr>
            <w:r w:rsidDel="00000000" w:rsidR="00000000" w:rsidRPr="00000000">
              <w:rPr>
                <w:rtl w:val="0"/>
              </w:rPr>
              <w:t xml:space="preserve">44692950</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Контактна особа</w:t>
            </w:r>
          </w:p>
        </w:tc>
        <w:tc>
          <w:tcPr/>
          <w:p w:rsidR="00000000" w:rsidDel="00000000" w:rsidP="00000000" w:rsidRDefault="00000000" w:rsidRPr="00000000" w14:paraId="00000010">
            <w:pPr>
              <w:rPr/>
            </w:pPr>
            <w:r w:rsidDel="00000000" w:rsidR="00000000" w:rsidRPr="00000000">
              <w:rPr>
                <w:rtl w:val="0"/>
              </w:rPr>
              <w:t xml:space="preserve">Антоніна Кумка</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Телефон</w:t>
            </w:r>
          </w:p>
        </w:tc>
        <w:tc>
          <w:tcPr/>
          <w:p w:rsidR="00000000" w:rsidDel="00000000" w:rsidP="00000000" w:rsidRDefault="00000000" w:rsidRPr="00000000" w14:paraId="00000012">
            <w:pPr>
              <w:rPr/>
            </w:pPr>
            <w:r w:rsidDel="00000000" w:rsidR="00000000" w:rsidRPr="00000000">
              <w:rPr>
                <w:rtl w:val="0"/>
              </w:rPr>
              <w:t xml:space="preserve">+380501776839</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Електронна адреса для подання пропозицій</w:t>
            </w:r>
          </w:p>
        </w:tc>
        <w:tc>
          <w:tcPr/>
          <w:p w:rsidR="00000000" w:rsidDel="00000000" w:rsidP="00000000" w:rsidRDefault="00000000" w:rsidRPr="00000000" w14:paraId="00000014">
            <w:pPr>
              <w:rPr/>
            </w:pPr>
            <w:r w:rsidDel="00000000" w:rsidR="00000000" w:rsidRPr="00000000">
              <w:rPr>
                <w:rtl w:val="0"/>
              </w:rPr>
              <w:t xml:space="preserve">contact@protezhub.com</w:t>
            </w:r>
          </w:p>
        </w:tc>
      </w:tr>
    </w:tbl>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pStyle w:val="Heading1"/>
        <w:spacing w:before="0" w:line="240" w:lineRule="auto"/>
        <w:jc w:val="both"/>
        <w:rPr/>
      </w:pPr>
      <w:r w:rsidDel="00000000" w:rsidR="00000000" w:rsidRPr="00000000">
        <w:rPr>
          <w:rFonts w:ascii="Times New Roman" w:cs="Times New Roman" w:eastAsia="Times New Roman" w:hAnsi="Times New Roman"/>
          <w:color w:val="000000"/>
          <w:rtl w:val="0"/>
        </w:rPr>
        <w:t xml:space="preserve">2. Предмет закупівлі</w:t>
      </w:r>
      <w:r w:rsidDel="00000000" w:rsidR="00000000" w:rsidRPr="00000000">
        <w:rPr>
          <w:rtl w:val="0"/>
        </w:rPr>
      </w:r>
    </w:p>
    <w:p w:rsidR="00000000" w:rsidDel="00000000" w:rsidP="00000000" w:rsidRDefault="00000000" w:rsidRPr="00000000" w14:paraId="00000017">
      <w:pPr>
        <w:spacing w:after="0" w:line="240" w:lineRule="auto"/>
        <w:ind w:firstLine="851"/>
        <w:jc w:val="both"/>
        <w:rPr/>
      </w:pPr>
      <w:r w:rsidDel="00000000" w:rsidR="00000000" w:rsidRPr="00000000">
        <w:rPr>
          <w:rtl w:val="0"/>
        </w:rPr>
        <w:t xml:space="preserve">Послуги з логістичного та організаційного забезпечення тренінгів у межах проєкту «ЯКІСНИЙ РУХ» (комплексна організаційна підтримка навчальних заходів для українських фахівців з реабілітації та ортезування), відповідно до Технічного завдання (додаток 2 до цього оголошення).</w:t>
      </w:r>
    </w:p>
    <w:p w:rsidR="00000000" w:rsidDel="00000000" w:rsidP="00000000" w:rsidRDefault="00000000" w:rsidRPr="00000000" w14:paraId="00000018">
      <w:pPr>
        <w:spacing w:after="0" w:line="240" w:lineRule="auto"/>
        <w:ind w:firstLine="851"/>
        <w:jc w:val="both"/>
        <w:rPr/>
      </w:pPr>
      <w:r w:rsidDel="00000000" w:rsidR="00000000" w:rsidRPr="00000000">
        <w:rPr>
          <w:rtl w:val="0"/>
        </w:rPr>
        <w:t xml:space="preserve">Вид процедури закупівлі: відкритий тендер (конкурентний відбір постачальника послуг на умовах цього оголошення).</w:t>
      </w:r>
    </w:p>
    <w:p w:rsidR="00000000" w:rsidDel="00000000" w:rsidP="00000000" w:rsidRDefault="00000000" w:rsidRPr="00000000" w14:paraId="00000019">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3. Обґрунтування та мета закупівлі</w:t>
      </w:r>
      <w:r w:rsidDel="00000000" w:rsidR="00000000" w:rsidRPr="00000000">
        <w:rPr>
          <w:rtl w:val="0"/>
        </w:rPr>
      </w:r>
    </w:p>
    <w:p w:rsidR="00000000" w:rsidDel="00000000" w:rsidP="00000000" w:rsidRDefault="00000000" w:rsidRPr="00000000" w14:paraId="0000001A">
      <w:pPr>
        <w:spacing w:after="0" w:line="240" w:lineRule="auto"/>
        <w:ind w:firstLine="851"/>
        <w:jc w:val="both"/>
        <w:rPr/>
      </w:pPr>
      <w:r w:rsidDel="00000000" w:rsidR="00000000" w:rsidRPr="00000000">
        <w:rPr>
          <w:rtl w:val="0"/>
        </w:rPr>
        <w:t xml:space="preserve">У межах реалізації проєкту «ЯКІСНИЙ РУХ» БФ «Протез Хаб» оголошує конкурс на пошук професійної логістичної компанії або агенції. Переможець тендеру забезпечить комплексну організаційну підтримку навчальних заходів, спрямованих на підвищення кваліфікації українських фахівців із реабілітації та ортезування.</w:t>
      </w:r>
    </w:p>
    <w:p w:rsidR="00000000" w:rsidDel="00000000" w:rsidP="00000000" w:rsidRDefault="00000000" w:rsidRPr="00000000" w14:paraId="0000001B">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4. Обсяг послуг</w:t>
      </w:r>
      <w:r w:rsidDel="00000000" w:rsidR="00000000" w:rsidRPr="00000000">
        <w:rPr>
          <w:rtl w:val="0"/>
        </w:rPr>
      </w:r>
    </w:p>
    <w:p w:rsidR="00000000" w:rsidDel="00000000" w:rsidP="00000000" w:rsidRDefault="00000000" w:rsidRPr="00000000" w14:paraId="0000001C">
      <w:pPr>
        <w:spacing w:after="0" w:line="240" w:lineRule="auto"/>
        <w:ind w:firstLine="851"/>
        <w:jc w:val="both"/>
        <w:rPr/>
      </w:pPr>
      <w:r w:rsidDel="00000000" w:rsidR="00000000" w:rsidRPr="00000000">
        <w:rPr>
          <w:rtl w:val="0"/>
        </w:rPr>
        <w:t xml:space="preserve">Виконавець повинен організувати та забезпечити логістику для двох ключових блоків навчальних заходів:</w:t>
      </w:r>
    </w:p>
    <w:p w:rsidR="00000000" w:rsidDel="00000000" w:rsidP="00000000" w:rsidRDefault="00000000" w:rsidRPr="00000000" w14:paraId="0000001D">
      <w:pPr>
        <w:spacing w:after="0" w:line="240" w:lineRule="auto"/>
        <w:rPr/>
      </w:pPr>
      <w:r w:rsidDel="00000000" w:rsidR="00000000" w:rsidRPr="00000000">
        <w:rPr>
          <w:b w:val="1"/>
          <w:bCs w:val="1"/>
          <w:rtl w:val="0"/>
        </w:rPr>
        <w:t xml:space="preserve">Блок А: Тренінг для тренерів</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Тривалість: 5 днів поспіль;</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учасників: 12 українських фахівців із реабілітації та 2 іноземні експерти;</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Місце проведення: за погодженням із Замовником (див. додаток 4).</w:t>
      </w:r>
    </w:p>
    <w:p w:rsidR="00000000" w:rsidDel="00000000" w:rsidP="00000000" w:rsidRDefault="00000000" w:rsidRPr="00000000" w14:paraId="00000021">
      <w:pPr>
        <w:spacing w:after="0" w:line="240" w:lineRule="auto"/>
        <w:jc w:val="both"/>
        <w:rPr/>
      </w:pPr>
      <w:r w:rsidDel="00000000" w:rsidR="00000000" w:rsidRPr="00000000">
        <w:rPr>
          <w:b w:val="1"/>
          <w:bCs w:val="1"/>
          <w:rtl w:val="0"/>
        </w:rPr>
        <w:t xml:space="preserve">Блок Б: Регіональні тренінги для практикуючих фахівців</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Формат: 8 окремих дводенних тренінгів;</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учасників: щонайменше 200 фізичних терапевтів та ерготерапевтів сумарно за всі заходи;</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Місця проведення: за погодженням із Замовником (див. додаток 4).</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Блок В: Тренінги для мультидисциплінарних реабілітаційних команд</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Формат: 5 окремих дводенних практичних майстер-класів із впровадження Стандарту реабілітаційної допомоги при ампутації кінцівки</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uz8p99dtbet4"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учасників: 25 фахівців, що складають 5 повних мультидисциплінарних команд по 5 спеціалістів у кожній</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Місця проведення: за погодженням із Замовником (див. додаток 4).</w:t>
      </w:r>
    </w:p>
    <w:p w:rsidR="00000000" w:rsidDel="00000000" w:rsidP="00000000" w:rsidRDefault="00000000" w:rsidRPr="00000000" w14:paraId="00000029">
      <w:pPr>
        <w:spacing w:after="0" w:line="240" w:lineRule="auto"/>
        <w:jc w:val="both"/>
        <w:rPr/>
      </w:pPr>
      <w:r w:rsidDel="00000000" w:rsidR="00000000" w:rsidRPr="00000000">
        <w:rPr>
          <w:i w:val="1"/>
          <w:iCs w:val="1"/>
          <w:color w:val="606060"/>
          <w:sz w:val="21"/>
          <w:szCs w:val="21"/>
          <w:rtl w:val="0"/>
        </w:rPr>
        <w:t xml:space="preserve">Повний перелік та орієнтовний графік заходів наведено у додатку 4 «Місця поставки товарів/надання послуг».</w:t>
      </w:r>
      <w:r w:rsidDel="00000000" w:rsidR="00000000" w:rsidRPr="00000000">
        <w:rPr>
          <w:rtl w:val="0"/>
        </w:rPr>
      </w:r>
    </w:p>
    <w:p w:rsidR="00000000" w:rsidDel="00000000" w:rsidP="00000000" w:rsidRDefault="00000000" w:rsidRPr="00000000" w14:paraId="0000002A">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5. Обов’язкові вимоги до логістичного забезпечення</w:t>
      </w:r>
      <w:r w:rsidDel="00000000" w:rsidR="00000000" w:rsidRPr="00000000">
        <w:rPr>
          <w:rtl w:val="0"/>
        </w:rPr>
      </w:r>
    </w:p>
    <w:p w:rsidR="00000000" w:rsidDel="00000000" w:rsidP="00000000" w:rsidRDefault="00000000" w:rsidRPr="00000000" w14:paraId="0000002B">
      <w:pPr>
        <w:spacing w:after="0" w:line="240" w:lineRule="auto"/>
        <w:jc w:val="both"/>
        <w:rPr/>
      </w:pPr>
      <w:r w:rsidDel="00000000" w:rsidR="00000000" w:rsidRPr="00000000">
        <w:rPr>
          <w:rtl w:val="0"/>
        </w:rPr>
        <w:t xml:space="preserve">Для кожного заходу Виконавець зобов’язаний забезпечити:</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Проживання: бронювання та оплата готельних номерів для учасників з інших регіонів та іноземних колег;</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Транспорт: організацію трансферу або компенсацію квитків для доїзду учасників та тренерів до місця проведення;</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Харчування: повний комплекс послуг кейтерингу протягом усіх днів навчання;</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Супровід: послуги послідовного перекладу для іноземних фахівців;</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Адміністрування: реєстрацію учасників, ведення та збір обов’язкових списків із фізичними підписами для фінальної звітності донору.</w:t>
      </w:r>
    </w:p>
    <w:p w:rsidR="00000000" w:rsidDel="00000000" w:rsidP="00000000" w:rsidRDefault="00000000" w:rsidRPr="00000000" w14:paraId="00000031">
      <w:pPr>
        <w:spacing w:after="0" w:line="240" w:lineRule="auto"/>
        <w:jc w:val="both"/>
        <w:rPr/>
      </w:pPr>
      <w:r w:rsidDel="00000000" w:rsidR="00000000" w:rsidRPr="00000000">
        <w:rPr>
          <w:i w:val="1"/>
          <w:iCs w:val="1"/>
          <w:color w:val="606060"/>
          <w:sz w:val="21"/>
          <w:szCs w:val="21"/>
          <w:rtl w:val="0"/>
        </w:rPr>
        <w:t xml:space="preserve">Детальні технічні характеристики та стандарти якості до кожної складової послуги наведено у додатку 2 «Вимоги до предмету закупівлі (технічні характеристики)».</w:t>
      </w:r>
      <w:r w:rsidDel="00000000" w:rsidR="00000000" w:rsidRPr="00000000">
        <w:rPr>
          <w:rtl w:val="0"/>
        </w:rPr>
      </w:r>
    </w:p>
    <w:p w:rsidR="00000000" w:rsidDel="00000000" w:rsidP="00000000" w:rsidRDefault="00000000" w:rsidRPr="00000000" w14:paraId="00000032">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6. Кваліфікаційні вимоги до учасників тендеру</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Офіційно зареєстрована юридична особа або ФОП 3 групи з відповідними КВЕД;</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Досвід успішної логістичної організації подібних масштабних заходів або тренінгів від 2 років;</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Позитивний досвід співпраці з міжнародними донорськими організаціями;</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Наявність команди координаторів для адміністрування заходів на місцях;</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Відсутність підстав для відмови в участі у процедурі закупівлі (додаток 6).</w:t>
      </w:r>
    </w:p>
    <w:p w:rsidR="00000000" w:rsidDel="00000000" w:rsidP="00000000" w:rsidRDefault="00000000" w:rsidRPr="00000000" w14:paraId="00000038">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7. Перелік документів тендерної пропозиції</w:t>
      </w:r>
      <w:r w:rsidDel="00000000" w:rsidR="00000000" w:rsidRPr="00000000">
        <w:rPr>
          <w:rtl w:val="0"/>
        </w:rPr>
      </w:r>
    </w:p>
    <w:p w:rsidR="00000000" w:rsidDel="00000000" w:rsidP="00000000" w:rsidRDefault="00000000" w:rsidRPr="00000000" w14:paraId="00000039">
      <w:pPr>
        <w:spacing w:after="0" w:line="240" w:lineRule="auto"/>
        <w:ind w:firstLine="851"/>
        <w:jc w:val="both"/>
        <w:rPr/>
      </w:pPr>
      <w:r w:rsidDel="00000000" w:rsidR="00000000" w:rsidRPr="00000000">
        <w:rPr>
          <w:rtl w:val="0"/>
        </w:rPr>
        <w:t xml:space="preserve">Повний перелік документів, що подаються учасником у складі тендерної пропозиції, наведено у додатку 1 «Перелік документів, що подаються учасником». Пропозиція, подана без будь-якого з обов’язкових документів, до розгляду не приймається (відхиляється як така, що не відповідає умовам закупівлі).</w:t>
      </w:r>
    </w:p>
    <w:p w:rsidR="00000000" w:rsidDel="00000000" w:rsidP="00000000" w:rsidRDefault="00000000" w:rsidRPr="00000000" w14:paraId="0000003A">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8. Інструкція з підготовки та подання пропозицій</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Мова пропозиції: українська (супровідні документи іноземною мовою подаються з перекладом на українську мову);</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Валюта цінової пропозиції: українська гривня (UAH), з урахуванням усіх податків і зборів;</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Формат подання: скановані копії (PDF) усіх документів, зібрані в один архів (.zip/.rar), надсилаються на електронну адресу contact@protezhub.com з темою листа «Тендерна пропозиція_[назва компанії]_ЯКІСНИЙ РУХ»;</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Строк дії пропозиції: не менше 60 календарних днів з дати кінцевого строку подання пропозицій;</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Один учасник має право подати лише одну тендерну пропозицію;</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Пропозиції, отримані після кінцевого строку подання, до розгляду не приймаються;</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Замовник має право звернутися до учасника з проханням надати роз’яснення або усунути виявлені технічні невідповідності в поданих документах протягом строку, визначеного Замовником, без права зміни ціни або суті пропозиції.</w:t>
      </w:r>
    </w:p>
    <w:p w:rsidR="00000000" w:rsidDel="00000000" w:rsidP="00000000" w:rsidRDefault="00000000" w:rsidRPr="00000000" w14:paraId="00000042">
      <w:pPr>
        <w:spacing w:after="0" w:line="240" w:lineRule="auto"/>
        <w:rPr/>
      </w:pPr>
      <w:r w:rsidDel="00000000" w:rsidR="00000000" w:rsidRPr="00000000">
        <w:rPr>
          <w:b w:val="1"/>
          <w:bCs w:val="1"/>
          <w:rtl w:val="0"/>
        </w:rPr>
        <w:t xml:space="preserve">Вимога щодо розбивки цінової пропозиції:</w:t>
      </w:r>
      <w:r w:rsidDel="00000000" w:rsidR="00000000" w:rsidRPr="00000000">
        <w:rPr>
          <w:rtl w:val="0"/>
        </w:rPr>
      </w:r>
    </w:p>
    <w:p w:rsidR="00000000" w:rsidDel="00000000" w:rsidP="00000000" w:rsidRDefault="00000000" w:rsidRPr="00000000" w14:paraId="00000043">
      <w:pPr>
        <w:spacing w:after="0" w:line="240" w:lineRule="auto"/>
        <w:ind w:firstLine="851"/>
        <w:jc w:val="both"/>
        <w:rPr/>
      </w:pPr>
      <w:r w:rsidDel="00000000" w:rsidR="00000000" w:rsidRPr="00000000">
        <w:rPr>
          <w:rtl w:val="0"/>
        </w:rPr>
        <w:t xml:space="preserve">Учасникам слід подати окремо пропозицію щодо вартості доїзду, проживання, харчування ітд та окремо їхню винагороду за надання логістичних послуг. Цінова пропозиція обов’язково подається за формою згідно з додатком 3 та повинна чітко розділяти:</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вартість товарів/послуг третіх сторін, які закуповуються Виконавцем в інтересах Замовника (проживання, харчування/кейтеринг, транспорт/трансфер, послуги перекладу, поліграфія/роздаткові матеріали, оренда приміщень тощо) — за фактичною/кошторисною вартістю;</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вартість власне послуг логістичної компанії (координація, адміністрування, менеджмент заходів) — у вигляді відсотка (%) від сукупної вартості товарів/послуг третіх сторін, зазначених у пункті 1.</w:t>
      </w:r>
    </w:p>
    <w:p w:rsidR="00000000" w:rsidDel="00000000" w:rsidP="00000000" w:rsidRDefault="00000000" w:rsidRPr="00000000" w14:paraId="00000046">
      <w:pPr>
        <w:spacing w:after="0" w:line="240" w:lineRule="auto"/>
        <w:ind w:firstLine="851"/>
        <w:jc w:val="both"/>
        <w:rPr/>
      </w:pPr>
      <w:r w:rsidDel="00000000" w:rsidR="00000000" w:rsidRPr="00000000">
        <w:rPr>
          <w:rtl w:val="0"/>
        </w:rPr>
        <w:t xml:space="preserve">Така розбивка є обов’язковою умовою допуску пропозиції до оцінки та необхідна для фінансової звітності Замовника перед донором. Пропозиції, у яких вартість власних послуг Виконавця не виокремлено у відсотковому співвідношенні, вважаються такими, що не відповідають умовам цього оголошення.</w:t>
      </w:r>
    </w:p>
    <w:p w:rsidR="00000000" w:rsidDel="00000000" w:rsidP="00000000" w:rsidRDefault="00000000" w:rsidRPr="00000000" w14:paraId="00000047">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9. Критерії та методика оцінки пропозицій</w:t>
      </w:r>
      <w:r w:rsidDel="00000000" w:rsidR="00000000" w:rsidRPr="00000000">
        <w:rPr>
          <w:rtl w:val="0"/>
        </w:rPr>
      </w:r>
    </w:p>
    <w:p w:rsidR="00000000" w:rsidDel="00000000" w:rsidP="00000000" w:rsidRDefault="00000000" w:rsidRPr="00000000" w14:paraId="00000048">
      <w:pPr>
        <w:spacing w:after="0" w:line="240" w:lineRule="auto"/>
        <w:ind w:firstLine="851"/>
        <w:jc w:val="both"/>
        <w:rPr/>
      </w:pPr>
      <w:r w:rsidDel="00000000" w:rsidR="00000000" w:rsidRPr="00000000">
        <w:rPr>
          <w:rtl w:val="0"/>
        </w:rPr>
        <w:t xml:space="preserve">Оцінка тендерних пропозицій, які пройшли перевірку на відповідність кваліфікаційним вимогам та повноту пакету документів, здійснюється за такими критеріями:</w:t>
      </w:r>
    </w:p>
    <w:tbl>
      <w:tblPr>
        <w:tblStyle w:val="Table2"/>
        <w:tblW w:w="98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2"/>
        <w:gridCol w:w="6236"/>
        <w:gridCol w:w="1984"/>
        <w:tblGridChange w:id="0">
          <w:tblGrid>
            <w:gridCol w:w="1642"/>
            <w:gridCol w:w="6236"/>
            <w:gridCol w:w="1984"/>
          </w:tblGrid>
        </w:tblGridChange>
      </w:tblGrid>
      <w:tr>
        <w:trPr>
          <w:cantSplit w:val="0"/>
          <w:tblHeader w:val="0"/>
        </w:trPr>
        <w:tc>
          <w:tcPr/>
          <w:p w:rsidR="00000000" w:rsidDel="00000000" w:rsidP="00000000" w:rsidRDefault="00000000" w:rsidRPr="00000000" w14:paraId="00000049">
            <w:pPr>
              <w:rPr/>
            </w:pPr>
            <w:r w:rsidDel="00000000" w:rsidR="00000000" w:rsidRPr="00000000">
              <w:rPr>
                <w:b w:val="1"/>
                <w:bCs w:val="1"/>
                <w:rtl w:val="0"/>
              </w:rPr>
              <w:t xml:space="preserve">№</w:t>
            </w:r>
            <w:r w:rsidDel="00000000" w:rsidR="00000000" w:rsidRPr="00000000">
              <w:rPr>
                <w:rtl w:val="0"/>
              </w:rPr>
            </w:r>
          </w:p>
        </w:tc>
        <w:tc>
          <w:tcPr/>
          <w:p w:rsidR="00000000" w:rsidDel="00000000" w:rsidP="00000000" w:rsidRDefault="00000000" w:rsidRPr="00000000" w14:paraId="0000004A">
            <w:pPr>
              <w:rPr/>
            </w:pPr>
            <w:r w:rsidDel="00000000" w:rsidR="00000000" w:rsidRPr="00000000">
              <w:rPr>
                <w:b w:val="1"/>
                <w:bCs w:val="1"/>
                <w:rtl w:val="0"/>
              </w:rPr>
              <w:t xml:space="preserve">Критерій</w:t>
            </w:r>
            <w:r w:rsidDel="00000000" w:rsidR="00000000" w:rsidRPr="00000000">
              <w:rPr>
                <w:rtl w:val="0"/>
              </w:rPr>
            </w:r>
          </w:p>
        </w:tc>
        <w:tc>
          <w:tcPr/>
          <w:p w:rsidR="00000000" w:rsidDel="00000000" w:rsidP="00000000" w:rsidRDefault="00000000" w:rsidRPr="00000000" w14:paraId="0000004B">
            <w:pPr>
              <w:rPr/>
            </w:pPr>
            <w:r w:rsidDel="00000000" w:rsidR="00000000" w:rsidRPr="00000000">
              <w:rPr>
                <w:b w:val="1"/>
                <w:bCs w:val="1"/>
                <w:rtl w:val="0"/>
              </w:rPr>
              <w:t xml:space="preserve">Питома вага</w:t>
            </w:r>
            <w:r w:rsidDel="00000000" w:rsidR="00000000" w:rsidRPr="00000000">
              <w:rPr>
                <w:rtl w:val="0"/>
              </w:rPr>
            </w:r>
          </w:p>
        </w:tc>
      </w:tr>
      <w:tr>
        <w:trPr>
          <w:cantSplit w:val="0"/>
          <w:tblHeader w:val="0"/>
        </w:trPr>
        <w:tc>
          <w:tcPr/>
          <w:p w:rsidR="00000000" w:rsidDel="00000000" w:rsidP="00000000" w:rsidRDefault="00000000" w:rsidRPr="00000000" w14:paraId="0000004C">
            <w:pPr>
              <w:rPr/>
            </w:pPr>
            <w:r w:rsidDel="00000000" w:rsidR="00000000" w:rsidRPr="00000000">
              <w:rPr>
                <w:rtl w:val="0"/>
              </w:rPr>
              <w:t xml:space="preserve">1</w:t>
            </w:r>
          </w:p>
        </w:tc>
        <w:tc>
          <w:tcPr/>
          <w:p w:rsidR="00000000" w:rsidDel="00000000" w:rsidP="00000000" w:rsidRDefault="00000000" w:rsidRPr="00000000" w14:paraId="0000004D">
            <w:pPr>
              <w:rPr/>
            </w:pPr>
            <w:r w:rsidDel="00000000" w:rsidR="00000000" w:rsidRPr="00000000">
              <w:rPr>
                <w:rtl w:val="0"/>
              </w:rPr>
              <w:t xml:space="preserve">Ціна тендерної пропозиції (сукупна вартість товарів/послуг третіх сторін + вартість послуг Виконавця)</w:t>
            </w:r>
          </w:p>
        </w:tc>
        <w:tc>
          <w:tcPr/>
          <w:p w:rsidR="00000000" w:rsidDel="00000000" w:rsidP="00000000" w:rsidRDefault="00000000" w:rsidRPr="00000000" w14:paraId="0000004E">
            <w:pPr>
              <w:rPr/>
            </w:pPr>
            <w:r w:rsidDel="00000000" w:rsidR="00000000" w:rsidRPr="00000000">
              <w:rPr>
                <w:rtl w:val="0"/>
              </w:rPr>
              <w:t xml:space="preserve">70 балів</w:t>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2</w:t>
            </w:r>
          </w:p>
        </w:tc>
        <w:tc>
          <w:tcPr/>
          <w:p w:rsidR="00000000" w:rsidDel="00000000" w:rsidP="00000000" w:rsidRDefault="00000000" w:rsidRPr="00000000" w14:paraId="00000050">
            <w:pPr>
              <w:rPr/>
            </w:pPr>
            <w:r w:rsidDel="00000000" w:rsidR="00000000" w:rsidRPr="00000000">
              <w:rPr>
                <w:rtl w:val="0"/>
              </w:rPr>
              <w:t xml:space="preserve">Досвід та кваліфікація учасника</w:t>
            </w:r>
          </w:p>
        </w:tc>
        <w:tc>
          <w:tcPr/>
          <w:p w:rsidR="00000000" w:rsidDel="00000000" w:rsidP="00000000" w:rsidRDefault="00000000" w:rsidRPr="00000000" w14:paraId="00000051">
            <w:pPr>
              <w:rPr/>
            </w:pPr>
            <w:r w:rsidDel="00000000" w:rsidR="00000000" w:rsidRPr="00000000">
              <w:rPr>
                <w:rtl w:val="0"/>
              </w:rPr>
              <w:t xml:space="preserve">30 балів</w:t>
            </w:r>
          </w:p>
        </w:tc>
      </w:tr>
      <w:tr>
        <w:trPr>
          <w:cantSplit w:val="0"/>
          <w:tblHeader w:val="0"/>
        </w:trPr>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t xml:space="preserve">у тому числі:</w:t>
            </w:r>
          </w:p>
        </w:tc>
        <w:tc>
          <w:tcPr/>
          <w:p w:rsidR="00000000" w:rsidDel="00000000" w:rsidP="00000000" w:rsidRDefault="00000000" w:rsidRPr="00000000" w14:paraId="00000054">
            <w:pPr>
              <w:rPr/>
            </w:pPr>
            <w:r w:rsidDel="00000000" w:rsidR="00000000" w:rsidRPr="00000000">
              <w:rPr>
                <w:rtl w:val="0"/>
              </w:rPr>
            </w:r>
          </w:p>
        </w:tc>
      </w:tr>
      <w:tr>
        <w:trPr>
          <w:cantSplit w:val="0"/>
          <w:tblHeader w:val="0"/>
        </w:trPr>
        <w:tc>
          <w:tcPr/>
          <w:p w:rsidR="00000000" w:rsidDel="00000000" w:rsidP="00000000" w:rsidRDefault="00000000" w:rsidRPr="00000000" w14:paraId="00000055">
            <w:pPr>
              <w:rPr/>
            </w:pPr>
            <w:r w:rsidDel="00000000" w:rsidR="00000000" w:rsidRPr="00000000">
              <w:rPr>
                <w:rtl w:val="0"/>
              </w:rPr>
              <w:t xml:space="preserve">2.1</w:t>
            </w:r>
          </w:p>
        </w:tc>
        <w:tc>
          <w:tcPr/>
          <w:p w:rsidR="00000000" w:rsidDel="00000000" w:rsidP="00000000" w:rsidRDefault="00000000" w:rsidRPr="00000000" w14:paraId="00000056">
            <w:pPr>
              <w:rPr/>
            </w:pPr>
            <w:r w:rsidDel="00000000" w:rsidR="00000000" w:rsidRPr="00000000">
              <w:rPr>
                <w:rtl w:val="0"/>
              </w:rPr>
              <w:t xml:space="preserve">Досвід виконання аналогічних договорів (кількість, масштаб та релевантність)</w:t>
            </w:r>
          </w:p>
        </w:tc>
        <w:tc>
          <w:tcPr/>
          <w:p w:rsidR="00000000" w:rsidDel="00000000" w:rsidP="00000000" w:rsidRDefault="00000000" w:rsidRPr="00000000" w14:paraId="00000057">
            <w:pPr>
              <w:rPr/>
            </w:pPr>
            <w:r w:rsidDel="00000000" w:rsidR="00000000" w:rsidRPr="00000000">
              <w:rPr>
                <w:rtl w:val="0"/>
              </w:rPr>
              <w:t xml:space="preserve">15 балів</w:t>
            </w:r>
          </w:p>
        </w:tc>
      </w:tr>
      <w:tr>
        <w:trPr>
          <w:cantSplit w:val="0"/>
          <w:tblHeader w:val="0"/>
        </w:trPr>
        <w:tc>
          <w:tcPr/>
          <w:p w:rsidR="00000000" w:rsidDel="00000000" w:rsidP="00000000" w:rsidRDefault="00000000" w:rsidRPr="00000000" w14:paraId="00000058">
            <w:pPr>
              <w:rPr/>
            </w:pPr>
            <w:r w:rsidDel="00000000" w:rsidR="00000000" w:rsidRPr="00000000">
              <w:rPr>
                <w:rtl w:val="0"/>
              </w:rPr>
              <w:t xml:space="preserve">2.2</w:t>
            </w:r>
          </w:p>
        </w:tc>
        <w:tc>
          <w:tcPr/>
          <w:p w:rsidR="00000000" w:rsidDel="00000000" w:rsidP="00000000" w:rsidRDefault="00000000" w:rsidRPr="00000000" w14:paraId="00000059">
            <w:pPr>
              <w:rPr/>
            </w:pPr>
            <w:r w:rsidDel="00000000" w:rsidR="00000000" w:rsidRPr="00000000">
              <w:rPr>
                <w:rtl w:val="0"/>
              </w:rPr>
              <w:t xml:space="preserve">Позитивний підтверджений досвід співпраці з міжнародними донорськими організаціями</w:t>
            </w:r>
          </w:p>
        </w:tc>
        <w:tc>
          <w:tcPr/>
          <w:p w:rsidR="00000000" w:rsidDel="00000000" w:rsidP="00000000" w:rsidRDefault="00000000" w:rsidRPr="00000000" w14:paraId="0000005A">
            <w:pPr>
              <w:rPr/>
            </w:pPr>
            <w:r w:rsidDel="00000000" w:rsidR="00000000" w:rsidRPr="00000000">
              <w:rPr>
                <w:rtl w:val="0"/>
              </w:rPr>
              <w:t xml:space="preserve">10 балів</w:t>
            </w:r>
          </w:p>
        </w:tc>
      </w:tr>
      <w:tr>
        <w:trPr>
          <w:cantSplit w:val="0"/>
          <w:tblHeader w:val="0"/>
        </w:trPr>
        <w:tc>
          <w:tcPr/>
          <w:p w:rsidR="00000000" w:rsidDel="00000000" w:rsidP="00000000" w:rsidRDefault="00000000" w:rsidRPr="00000000" w14:paraId="0000005B">
            <w:pPr>
              <w:rPr/>
            </w:pPr>
            <w:r w:rsidDel="00000000" w:rsidR="00000000" w:rsidRPr="00000000">
              <w:rPr>
                <w:rtl w:val="0"/>
              </w:rPr>
              <w:t xml:space="preserve">2.3</w:t>
            </w:r>
          </w:p>
        </w:tc>
        <w:tc>
          <w:tcPr/>
          <w:p w:rsidR="00000000" w:rsidDel="00000000" w:rsidP="00000000" w:rsidRDefault="00000000" w:rsidRPr="00000000" w14:paraId="0000005C">
            <w:pPr>
              <w:rPr/>
            </w:pPr>
            <w:r w:rsidDel="00000000" w:rsidR="00000000" w:rsidRPr="00000000">
              <w:rPr>
                <w:rtl w:val="0"/>
              </w:rPr>
              <w:t xml:space="preserve">Наявність та забезпеченість команди координаторів для адміністрування заходів на місцях</w:t>
            </w:r>
          </w:p>
        </w:tc>
        <w:tc>
          <w:tcPr/>
          <w:p w:rsidR="00000000" w:rsidDel="00000000" w:rsidP="00000000" w:rsidRDefault="00000000" w:rsidRPr="00000000" w14:paraId="0000005D">
            <w:pPr>
              <w:rPr/>
            </w:pPr>
            <w:r w:rsidDel="00000000" w:rsidR="00000000" w:rsidRPr="00000000">
              <w:rPr>
                <w:rtl w:val="0"/>
              </w:rPr>
              <w:t xml:space="preserve">5 балів</w:t>
            </w:r>
          </w:p>
        </w:tc>
      </w:tr>
      <w:tr>
        <w:trPr>
          <w:cantSplit w:val="0"/>
          <w:tblHeader w:val="0"/>
        </w:trPr>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t xml:space="preserve">РАЗОМ</w:t>
            </w:r>
          </w:p>
        </w:tc>
        <w:tc>
          <w:tcPr/>
          <w:p w:rsidR="00000000" w:rsidDel="00000000" w:rsidP="00000000" w:rsidRDefault="00000000" w:rsidRPr="00000000" w14:paraId="00000060">
            <w:pPr>
              <w:rPr/>
            </w:pPr>
            <w:r w:rsidDel="00000000" w:rsidR="00000000" w:rsidRPr="00000000">
              <w:rPr>
                <w:rtl w:val="0"/>
              </w:rPr>
              <w:t xml:space="preserve">100 балів</w:t>
            </w:r>
          </w:p>
        </w:tc>
      </w:tr>
    </w:tbl>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b w:val="1"/>
          <w:bCs w:val="1"/>
          <w:rtl w:val="0"/>
        </w:rPr>
        <w:t xml:space="preserve">Методика розрахунку балів за критерієм «Ціна»:</w:t>
      </w:r>
      <w:r w:rsidDel="00000000" w:rsidR="00000000" w:rsidRPr="00000000">
        <w:rPr>
          <w:rtl w:val="0"/>
        </w:rPr>
      </w:r>
    </w:p>
    <w:p w:rsidR="00000000" w:rsidDel="00000000" w:rsidP="00000000" w:rsidRDefault="00000000" w:rsidRPr="00000000" w14:paraId="00000063">
      <w:pPr>
        <w:spacing w:after="0" w:line="240" w:lineRule="auto"/>
        <w:ind w:firstLine="851"/>
        <w:jc w:val="both"/>
        <w:rPr/>
      </w:pPr>
      <w:r w:rsidDel="00000000" w:rsidR="00000000" w:rsidRPr="00000000">
        <w:rPr>
          <w:rtl w:val="0"/>
        </w:rPr>
        <w:t xml:space="preserve">Бали за ціною нараховуються за формулою: Бц = 70 × (Цmin / Ці), де Цmin – найменша сукупна ціна серед поданих пропозицій, які допущено до оцінки, Ці – сукупна ціна пропозиції учасника, що оцінюється. Порівнянню підлягає загальна (сукупна) ціна пропозиції — сума вартості товарів/послуг третіх сторін та вартості послуг Виконавця, розрахованої як відсоток від неї.</w:t>
      </w:r>
    </w:p>
    <w:p w:rsidR="00000000" w:rsidDel="00000000" w:rsidP="00000000" w:rsidRDefault="00000000" w:rsidRPr="00000000" w14:paraId="00000064">
      <w:pPr>
        <w:spacing w:after="0" w:line="240" w:lineRule="auto"/>
        <w:rPr/>
      </w:pPr>
      <w:r w:rsidDel="00000000" w:rsidR="00000000" w:rsidRPr="00000000">
        <w:rPr>
          <w:b w:val="1"/>
          <w:bCs w:val="1"/>
          <w:rtl w:val="0"/>
        </w:rPr>
        <w:t xml:space="preserve">Методика розрахунку балів за критерієм «Досвід та кваліфікація»:</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2.1: 1 підтверджений аналогічний договір – 5 балів; 2–3 договори – 10 балів; 4 і більше договорів – 15 балів;</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2.2: наявність підтвердженого (листом-відгуком або довідкою) досвіду співпраці з міжнародною донорською організацією – 10 балів; відсутність підтвердження – 0 балів;</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 2.3: підтверджена команда координаторів для роботи на місцях у 3 і більше регіонах – 5 балів; менше – пропорційно (наприклад, 1–2 регіони – 2 бали).</w:t>
      </w:r>
    </w:p>
    <w:p w:rsidR="00000000" w:rsidDel="00000000" w:rsidP="00000000" w:rsidRDefault="00000000" w:rsidRPr="00000000" w14:paraId="00000068">
      <w:pPr>
        <w:spacing w:after="0" w:line="240" w:lineRule="auto"/>
        <w:ind w:firstLine="851"/>
        <w:jc w:val="both"/>
        <w:rPr/>
      </w:pPr>
      <w:r w:rsidDel="00000000" w:rsidR="00000000" w:rsidRPr="00000000">
        <w:rPr>
          <w:rtl w:val="0"/>
        </w:rPr>
        <w:t xml:space="preserve">Переможцем тендеру визнається учасник, пропозиція якого набрала найбільшу сукупну кількість балів за результатами оцінки за всіма критеріями. У разі рівності балів перевага надається учаснику з нижчою сукупною ціною пропозиції.</w:t>
      </w:r>
    </w:p>
    <w:p w:rsidR="00000000" w:rsidDel="00000000" w:rsidP="00000000" w:rsidRDefault="00000000" w:rsidRPr="00000000" w14:paraId="00000069">
      <w:pPr>
        <w:spacing w:after="0" w:line="240" w:lineRule="auto"/>
        <w:jc w:val="both"/>
        <w:rPr/>
      </w:pPr>
      <w:r w:rsidDel="00000000" w:rsidR="00000000" w:rsidRPr="00000000">
        <w:rPr>
          <w:i w:val="1"/>
          <w:iCs w:val="1"/>
          <w:color w:val="606060"/>
          <w:sz w:val="21"/>
          <w:szCs w:val="21"/>
          <w:rtl w:val="0"/>
        </w:rPr>
        <w:t xml:space="preserve">Замовник залишає за собою право уточнити або скоригувати наведену методику оцінки до дати оприлюднення остаточної версії оголошення.</w:t>
      </w:r>
      <w:r w:rsidDel="00000000" w:rsidR="00000000" w:rsidRPr="00000000">
        <w:rPr>
          <w:rtl w:val="0"/>
        </w:rPr>
      </w:r>
    </w:p>
    <w:p w:rsidR="00000000" w:rsidDel="00000000" w:rsidP="00000000" w:rsidRDefault="00000000" w:rsidRPr="00000000" w14:paraId="0000006A">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10. Строки та контакти</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оприлюднення оголошення: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0</w:t>
      </w:r>
      <w:r w:rsidDel="00000000" w:rsidR="00000000" w:rsidRPr="00000000">
        <w:rPr>
          <w:highlight w:val="white"/>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липня 2026 року</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Кінцевий термін подачі пропозицій: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w:t>
      </w:r>
      <w:r w:rsidDel="00000000" w:rsidR="00000000" w:rsidRPr="00000000">
        <w:rPr>
          <w:highlight w:val="whit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липня 2026 року, до 18:00 за київським часом</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Орієнтовний строк розгляду та оцінки пропозицій: до 3-ох робочих днів з дати завершення прийому пропозицій</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Орієнтовна дата оголошення результатів: </w:t>
      </w:r>
      <w:r w:rsidDel="00000000" w:rsidR="00000000" w:rsidRPr="00000000">
        <w:rPr>
          <w:highlight w:val="white"/>
          <w:rtl w:val="0"/>
        </w:rPr>
        <w:t xml:space="preserve">20</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липня 2026 року</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Орієнтовна дата підписання договору: 2</w:t>
      </w:r>
      <w:r w:rsidDel="00000000" w:rsidR="00000000" w:rsidRPr="00000000">
        <w:rPr>
          <w:highlight w:val="whit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липня 2026 року</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Електронна адреса для надсилання пакету документів: contact@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protezhub.com</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Контактна особа для роз’яснень: +380501776839</w:t>
      </w:r>
    </w:p>
    <w:p w:rsidR="00000000" w:rsidDel="00000000" w:rsidP="00000000" w:rsidRDefault="00000000" w:rsidRPr="00000000" w14:paraId="00000072">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11. Інші умови</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Замовник залишає за собою право відхилити будь-яку або всі тендерні пропозиції, а також відмінити тендер на будь-якому етапі до підписання договору без пояснення причин та без відшкодування учасникам будь-яких витрат, понесених у зв’язку з підготовкою та поданням пропозицій;</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Подання тендерної пропозиції означає повну згоду учасника з умовами цього оголошення та додатків до нього;</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Учасники зобов’язані невідкладно повідомити Замовника про будь-який реальний або потенційний конфлікт інтересів, зокрема щодо працівників Замовника, проєкту чи донора;</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Замовник та даний тендер діють з дотриманням політик доброчесності, запобігання шахрайству та корупції, встановлених донором (IREX);</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Усі персональні дані, отримані в ході проведення тендеру, обробляються виключно з метою організації та проведення закупівлі відповідно до законодавства України про захист персональних даних.</w:t>
      </w:r>
    </w:p>
    <w:p w:rsidR="00000000" w:rsidDel="00000000" w:rsidP="00000000" w:rsidRDefault="00000000" w:rsidRPr="00000000" w14:paraId="00000078">
      <w:pPr>
        <w:pStyle w:val="Heading1"/>
        <w:spacing w:before="0" w:line="240" w:lineRule="auto"/>
        <w:rPr/>
      </w:pPr>
      <w:r w:rsidDel="00000000" w:rsidR="00000000" w:rsidRPr="00000000">
        <w:rPr>
          <w:rFonts w:ascii="Times New Roman" w:cs="Times New Roman" w:eastAsia="Times New Roman" w:hAnsi="Times New Roman"/>
          <w:color w:val="000000"/>
          <w:rtl w:val="0"/>
        </w:rPr>
        <w:t xml:space="preserve">12. Перелік додатків до оголошення</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Перелік документів, що подаються учасником</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Вимоги до предмету закупівлі (технічні характеристики)</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Форма цінової пропозиції</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Місця поставки товарів/надання послуг</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Відомості про досвід виконання аналогічних договорів (форма)</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Довідка про відсутність підстав для відмови в участі у процедурі закупівлі (бланк)</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Шаблон договору</w:t>
        <w:br w:type="textWrapping"/>
        <w:br w:type="textWrapping"/>
        <w:t xml:space="preserve">Документи доступні за посиланням</w:t>
      </w:r>
      <w:r w:rsidDel="00000000" w:rsidR="00000000" w:rsidRPr="00000000">
        <w:rPr>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https://drive.google.com/drive/folders/1Lx1B3ksMbkNd4spEqeR7PFNb35lOBQLV?usp=sharing</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sectPr>
      <w:pgSz w:h="15840" w:w="12240" w:orient="portrait"/>
      <w:pgMar w:bottom="709" w:top="1134" w:left="1417"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Lx1B3ksMbkNd4spEqeR7PFNb35lOBQLV?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XXHSESJfYJgONUuIzzAYbOQA==">CgMxLjAyDmgudXo4cDk5ZHRiZXQ0OAByITEyZzNQMkJrUjEyT2VmWWV5YlRmWFVzUmpHNTNHM0Vzaw==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