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ind w:left="-72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571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YYsxpavX/rYviO3ai6eKq7K+wQ==">CgMxLjA4AHIhMTRQY3U4YWdqcVB2UGloUjNvWXZWMFdJMmVBTDhQN3JH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