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Default="006643E9" w:rsidP="00423D95">
      <w:pPr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7D7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 w:rsidR="003F3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 w:rsidR="003F36F0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30221F" w:rsidRDefault="00677D7D" w:rsidP="00B83933">
      <w:pPr>
        <w:pStyle w:val="PATHbodytext"/>
        <w:rPr>
          <w:lang w:val="uk-UA"/>
        </w:rPr>
        <w:sectPr w:rsidR="00677D7D" w:rsidRPr="0030221F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0A121D4E" w14:textId="77777777" w:rsidR="0050638F" w:rsidRDefault="00065861" w:rsidP="006853D7">
      <w:pPr>
        <w:pStyle w:val="PATHbodytext"/>
        <w:rPr>
          <w:rFonts w:cs="Arial"/>
          <w:color w:val="C00000"/>
          <w:sz w:val="28"/>
          <w:szCs w:val="28"/>
          <w:lang w:val="uk-UA"/>
        </w:rPr>
      </w:pPr>
      <w:r w:rsidRPr="0030221F">
        <w:rPr>
          <w:rFonts w:cs="Arial"/>
          <w:sz w:val="28"/>
          <w:szCs w:val="28"/>
          <w:lang w:val="uk-UA"/>
        </w:rPr>
        <w:t>Номер запиту цінової пропозиції</w:t>
      </w:r>
      <w:r w:rsidR="003F36F0" w:rsidRPr="0030221F">
        <w:rPr>
          <w:rFonts w:cs="Arial"/>
          <w:sz w:val="28"/>
          <w:szCs w:val="28"/>
          <w:lang w:val="uk-UA"/>
        </w:rPr>
        <w:t xml:space="preserve"> </w:t>
      </w:r>
      <w:r w:rsidR="001D1844" w:rsidRPr="0030221F">
        <w:rPr>
          <w:rFonts w:cs="Arial"/>
          <w:sz w:val="28"/>
          <w:szCs w:val="28"/>
          <w:lang w:val="uk-UA"/>
        </w:rPr>
        <w:t>(</w:t>
      </w:r>
      <w:r w:rsidRPr="0030221F">
        <w:rPr>
          <w:rFonts w:cs="Arial"/>
          <w:sz w:val="28"/>
          <w:szCs w:val="28"/>
          <w:lang w:val="uk-UA"/>
        </w:rPr>
        <w:t>ЗЦП</w:t>
      </w:r>
      <w:r w:rsidR="001D1844" w:rsidRPr="0030221F">
        <w:rPr>
          <w:rFonts w:cs="Arial"/>
          <w:sz w:val="28"/>
          <w:szCs w:val="28"/>
          <w:lang w:val="uk-UA"/>
        </w:rPr>
        <w:t>)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3E51BC" w:rsidRPr="0030221F">
        <w:rPr>
          <w:rFonts w:cs="Arial"/>
          <w:color w:val="C00000"/>
          <w:sz w:val="28"/>
          <w:szCs w:val="28"/>
          <w:lang w:val="uk-UA"/>
        </w:rPr>
        <w:t xml:space="preserve"># </w:t>
      </w:r>
      <w:r w:rsidR="0050638F" w:rsidRPr="0050638F">
        <w:rPr>
          <w:rFonts w:cs="Arial"/>
          <w:color w:val="C00000"/>
          <w:sz w:val="28"/>
          <w:szCs w:val="28"/>
          <w:lang w:val="uk-UA"/>
        </w:rPr>
        <w:t>2026-062</w:t>
      </w:r>
    </w:p>
    <w:p w14:paraId="62BE1360" w14:textId="4C984EC1" w:rsidR="003F36F0" w:rsidRPr="00864F6E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30221F">
        <w:rPr>
          <w:rFonts w:cs="Arial"/>
          <w:sz w:val="28"/>
          <w:szCs w:val="28"/>
          <w:lang w:val="uk-UA"/>
        </w:rPr>
        <w:t>Для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864F6E" w:rsidRPr="00864F6E">
        <w:rPr>
          <w:rFonts w:cs="Arial"/>
          <w:sz w:val="28"/>
          <w:szCs w:val="28"/>
          <w:lang w:val="uk-UA"/>
        </w:rPr>
        <w:t>Ендоскопічна стійка</w:t>
      </w:r>
    </w:p>
    <w:p w14:paraId="72C51FE5" w14:textId="2E0E52B2" w:rsidR="003F36F0" w:rsidRPr="0030221F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30221F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30221F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18184806" w:rsidR="003F36F0" w:rsidRPr="009233ED" w:rsidRDefault="00ED265D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E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червня 2026 року</w:t>
            </w:r>
          </w:p>
        </w:tc>
      </w:tr>
      <w:tr w:rsidR="00BB5168" w:rsidRPr="0030221F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</w:t>
            </w:r>
            <w:r w:rsidR="00065861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дання цінової пропозиції</w:t>
            </w:r>
            <w:r w:rsidR="003F36F0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7D7D1856" w:rsidR="003F36F0" w:rsidRPr="009233ED" w:rsidRDefault="00D77E58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9233ED" w:rsidRP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червня 2026 року</w:t>
            </w:r>
          </w:p>
        </w:tc>
      </w:tr>
      <w:tr w:rsidR="00BB5168" w:rsidRPr="0030221F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0C0B929A" w:rsidR="003F36F0" w:rsidRPr="009233ED" w:rsidRDefault="00D77E58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="009233ED" w:rsidRPr="009233ED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липня</w:t>
            </w:r>
            <w:r w:rsidR="009233ED" w:rsidRPr="009233ED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 xml:space="preserve"> 2026 року</w:t>
            </w:r>
          </w:p>
        </w:tc>
      </w:tr>
    </w:tbl>
    <w:p w14:paraId="7AEB7E9A" w14:textId="21F1D45F" w:rsidR="003F36F0" w:rsidRPr="0030221F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</w:t>
      </w:r>
      <w:r w:rsidR="003F36F0"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: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PATH </w:t>
      </w:r>
      <w:r w:rsidRPr="0030221F">
        <w:rPr>
          <w:rFonts w:asciiTheme="minorHAnsi" w:hAnsiTheme="minorHAnsi" w:cstheme="minorHAnsi"/>
          <w:szCs w:val="20"/>
          <w:lang w:val="uk-UA"/>
        </w:rPr>
        <w:t>залишає за собою право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Pr="0030221F">
        <w:rPr>
          <w:rFonts w:asciiTheme="minorHAnsi" w:hAnsiTheme="minorHAnsi" w:cstheme="minorHAnsi"/>
          <w:szCs w:val="20"/>
          <w:lang w:val="uk-UA"/>
        </w:rPr>
        <w:t>змінювати графік, за потреби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. </w:t>
      </w:r>
      <w:r w:rsidRPr="0030221F">
        <w:rPr>
          <w:rFonts w:asciiTheme="minorHAnsi" w:hAnsiTheme="minorHAnsi" w:cstheme="minorHAnsi"/>
          <w:szCs w:val="20"/>
          <w:lang w:val="uk-UA"/>
        </w:rPr>
        <w:t>Про будь-які зміни всім учасникам буде одночасно повідомлено електронним листом</w:t>
      </w:r>
      <w:r w:rsidR="003E0214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2FB35C5A" w14:textId="4D904708" w:rsidR="003F36F0" w:rsidRPr="0030221F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Інформація</w:t>
      </w:r>
      <w:r w:rsidR="003A77C8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про ділову практику</w:t>
      </w:r>
      <w:r w:rsidR="0039577E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F36F0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PATH </w:t>
      </w:r>
    </w:p>
    <w:p w14:paraId="42EA9F31" w14:textId="6DAAB5B9" w:rsidR="004762C0" w:rsidRPr="0030221F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— це некомерційна організація, що працює заради досягнення рівних можливостей для здоров’я людей у всьому світі</w:t>
      </w:r>
      <w:r w:rsidR="00B50B1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Маючи понад 40 років досвіду у налагодженні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адвокації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lang w:val="uk-UA"/>
        </w:rPr>
        <w:t>Відвідайте наш вебсайт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2" w:history="1">
        <w:r w:rsidR="003F36F0" w:rsidRPr="0030221F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="003A77C8" w:rsidRPr="0030221F">
        <w:rPr>
          <w:rFonts w:asciiTheme="minorHAnsi" w:hAnsiTheme="minorHAnsi" w:cstheme="minorHAnsi"/>
          <w:szCs w:val="20"/>
          <w:lang w:val="uk-UA"/>
        </w:rPr>
        <w:t>, щоб дізнатися більше</w:t>
      </w:r>
      <w:r w:rsidR="004D30BA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455FBFA2" w14:textId="77777777" w:rsidR="00501BFE" w:rsidRPr="00091104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</w:rPr>
      </w:pPr>
    </w:p>
    <w:p w14:paraId="508C419F" w14:textId="1BB3EA2B" w:rsidR="003F36F0" w:rsidRPr="00091104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</w:rPr>
      </w:pPr>
      <w:r w:rsidRPr="00091104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0A4458AF" w:rsidR="003C2968" w:rsidRPr="009233ED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</w:t>
      </w:r>
      <w:r w:rsidR="003F36F0" w:rsidRPr="0009110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F36F0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РАТН, </w:t>
      </w:r>
      <w:r w:rsidR="003A77C8"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організатор </w:t>
      </w:r>
      <w:r w:rsidR="00FF404E" w:rsidRPr="00091104">
        <w:rPr>
          <w:rFonts w:asciiTheme="minorHAnsi" w:hAnsiTheme="minorHAnsi" w:cstheme="minorHAnsi"/>
          <w:sz w:val="20"/>
          <w:szCs w:val="20"/>
          <w:lang w:val="uk-UA"/>
        </w:rPr>
        <w:t>запиту цінових пропозицій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впровадж</w:t>
      </w:r>
      <w:r w:rsidR="00E91917" w:rsidRPr="00091104">
        <w:rPr>
          <w:rFonts w:asciiTheme="minorHAnsi" w:hAnsiTheme="minorHAnsi" w:cstheme="minorHAnsi"/>
          <w:sz w:val="20"/>
          <w:szCs w:val="20"/>
          <w:lang w:val="uk-UA"/>
        </w:rPr>
        <w:t>ує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проєкт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«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Підтримка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зусиль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протидії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»,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що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фінансується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урядом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США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,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метою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якого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є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зменшення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тягаря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 xml:space="preserve"> (ТБ)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шляхом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профілактики,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раннього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виявлення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захворювання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та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належного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лікування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хворих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 xml:space="preserve"> ТБ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, 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лікарсько-стійкий ТБ (</w:t>
      </w:r>
      <w:r w:rsidR="00E91917" w:rsidRPr="009233ED">
        <w:rPr>
          <w:rFonts w:asciiTheme="minorHAnsi" w:hAnsiTheme="minorHAnsi" w:cstheme="minorHAnsi"/>
          <w:sz w:val="20"/>
          <w:szCs w:val="20"/>
        </w:rPr>
        <w:t>ЛС-ТБ</w:t>
      </w:r>
      <w:r w:rsidR="00E91917" w:rsidRPr="009233ED">
        <w:rPr>
          <w:rFonts w:asciiTheme="minorHAnsi" w:hAnsiTheme="minorHAnsi" w:cstheme="minorHAnsi"/>
          <w:sz w:val="20"/>
          <w:szCs w:val="20"/>
          <w:lang w:val="uk-UA"/>
        </w:rPr>
        <w:t>)</w:t>
      </w:r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і </w:t>
      </w:r>
      <w:proofErr w:type="spellStart"/>
      <w:r w:rsidR="00E91917" w:rsidRPr="009233ED">
        <w:rPr>
          <w:rFonts w:asciiTheme="minorHAnsi" w:hAnsiTheme="minorHAnsi" w:cstheme="minorHAnsi"/>
          <w:sz w:val="20"/>
          <w:szCs w:val="20"/>
        </w:rPr>
        <w:t>ко-інфекцію</w:t>
      </w:r>
      <w:proofErr w:type="spellEnd"/>
      <w:r w:rsidR="00E91917" w:rsidRPr="009233ED">
        <w:rPr>
          <w:rFonts w:asciiTheme="minorHAnsi" w:hAnsiTheme="minorHAnsi" w:cstheme="minorHAnsi"/>
          <w:sz w:val="20"/>
          <w:szCs w:val="20"/>
        </w:rPr>
        <w:t xml:space="preserve"> ТБ/ВІЛ</w:t>
      </w:r>
      <w:r w:rsidR="003C2968" w:rsidRPr="009233E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F2B121" w14:textId="07125027" w:rsidR="003F36F0" w:rsidRPr="00091104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ru-RU"/>
        </w:rPr>
      </w:pPr>
      <w:bookmarkStart w:id="0" w:name="_Toc512177895"/>
      <w:r w:rsidRPr="00091104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</w:t>
      </w:r>
      <w:r w:rsidR="003F36F0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, </w:t>
      </w:r>
      <w:r w:rsidRPr="00091104">
        <w:rPr>
          <w:rFonts w:asciiTheme="minorHAnsi" w:hAnsiTheme="minorHAnsi" w:cstheme="minorHAnsi"/>
          <w:sz w:val="20"/>
          <w:szCs w:val="20"/>
          <w:lang w:val="uk-UA"/>
        </w:rPr>
        <w:t>ціноутворення</w:t>
      </w:r>
      <w:bookmarkEnd w:id="0"/>
      <w:r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4000E3E1" w:rsidR="008E6262" w:rsidRPr="00091104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uk-UA"/>
        </w:rPr>
      </w:pPr>
      <w:r w:rsidRPr="00091104">
        <w:rPr>
          <w:rFonts w:asciiTheme="minorHAnsi" w:hAnsiTheme="minorHAnsi" w:cstheme="minorHAnsi"/>
          <w:b/>
          <w:szCs w:val="20"/>
          <w:lang w:val="uk-UA"/>
        </w:rPr>
        <w:t xml:space="preserve">Вимоги до цінової пропозиції для </w:t>
      </w:r>
      <w:r w:rsidRPr="00864F6E">
        <w:rPr>
          <w:rFonts w:asciiTheme="minorHAnsi" w:hAnsiTheme="minorHAnsi" w:cstheme="minorHAnsi"/>
          <w:b/>
          <w:szCs w:val="20"/>
          <w:lang w:val="uk-UA"/>
        </w:rPr>
        <w:t>закупівлі</w:t>
      </w:r>
      <w:r w:rsidR="001E70DB" w:rsidRPr="00864F6E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864F6E" w:rsidRPr="00864F6E">
        <w:rPr>
          <w:rFonts w:asciiTheme="minorHAnsi" w:hAnsiTheme="minorHAnsi" w:cstheme="minorHAnsi"/>
          <w:b/>
          <w:szCs w:val="20"/>
          <w:lang w:val="uk-UA"/>
        </w:rPr>
        <w:t xml:space="preserve">ендоскопічної </w:t>
      </w:r>
      <w:proofErr w:type="spellStart"/>
      <w:r w:rsidR="00864F6E" w:rsidRPr="00864F6E">
        <w:rPr>
          <w:rFonts w:asciiTheme="minorHAnsi" w:hAnsiTheme="minorHAnsi" w:cstheme="minorHAnsi"/>
          <w:b/>
          <w:szCs w:val="20"/>
          <w:lang w:val="uk-UA"/>
        </w:rPr>
        <w:t>стійки</w:t>
      </w:r>
      <w:proofErr w:type="spellEnd"/>
      <w:r w:rsidR="001E70DB" w:rsidRPr="00864F6E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Pr="00864F6E">
        <w:rPr>
          <w:rFonts w:asciiTheme="minorHAnsi" w:hAnsiTheme="minorHAnsi" w:cstheme="minorHAnsi"/>
          <w:b/>
          <w:szCs w:val="20"/>
          <w:lang w:val="uk-UA"/>
        </w:rPr>
        <w:t>викладено</w:t>
      </w:r>
      <w:r w:rsidRPr="00091104">
        <w:rPr>
          <w:rFonts w:asciiTheme="minorHAnsi" w:hAnsiTheme="minorHAnsi" w:cstheme="minorHAnsi"/>
          <w:b/>
          <w:szCs w:val="20"/>
          <w:lang w:val="uk-UA"/>
        </w:rPr>
        <w:t xml:space="preserve"> у Додатку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DF6E72" w:rsidRPr="00091104">
        <w:rPr>
          <w:rFonts w:asciiTheme="minorHAnsi" w:hAnsiTheme="minorHAnsi" w:cstheme="minorHAnsi"/>
          <w:b/>
          <w:szCs w:val="20"/>
          <w:lang w:val="uk-UA"/>
        </w:rPr>
        <w:t>1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>.</w:t>
      </w:r>
      <w:r w:rsidR="00381213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</w:p>
    <w:p w14:paraId="4D9144D6" w14:textId="1D10A8FA" w:rsidR="008E6262" w:rsidRPr="00B07FB0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: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Товари і послуги, джерелом походження яких або їхня національна приналежність є передова країна, що розвивається, не можуть пропонуватися для поставки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F8098C" w:rsidRPr="00247C2A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Товари, що походять зі США, є допустимими до участі та запрошуються до подання пропозицій.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Список країн, що розвиваються, можна знайти за цим посиланням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: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https://datahelpdesk.worldbank.org/knowledgebase/articles/906519-world-bank-country-and-lending-groups.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</w:p>
    <w:p w14:paraId="5E0ABBA6" w14:textId="1A9CD1CE" w:rsidR="00897981" w:rsidRPr="00B07FB0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Будь ласка, вкажіть вартість у, Додатку 3. Вартість потрібно розбити на складові, і також потрібно включити в таблицю детальний опис кожної складової разом з відповідним терміном доставки і вартістю. Вкажіть супутні послуги, що стосуються поставки. Вкажіть такі подробиці, як тренінг для користувачів, вартість обслуговування щонайменше протягом 12 місяців, гарантії, тестування, вартість доставки та вантажних перевезень, страхування, , умови оплати (якщо не стандартні, як оплата після доставки) та будь-які інші, пов'язані із постачанням, витрати.</w:t>
      </w:r>
      <w:r w:rsidR="00B07FB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B25519" w:rsidRPr="00B07FB0">
        <w:rPr>
          <w:rFonts w:cstheme="minorHAnsi"/>
          <w:szCs w:val="20"/>
          <w:lang w:val="uk-UA"/>
        </w:rPr>
        <w:t xml:space="preserve">Ціни мають бути </w:t>
      </w:r>
      <w:r w:rsidR="00AC0905" w:rsidRPr="00B07FB0">
        <w:rPr>
          <w:rFonts w:cstheme="minorHAnsi"/>
          <w:szCs w:val="20"/>
          <w:lang w:val="uk-UA"/>
        </w:rPr>
        <w:t>вказа</w:t>
      </w:r>
      <w:r w:rsidR="00B25519" w:rsidRPr="00B07FB0">
        <w:rPr>
          <w:rFonts w:cstheme="minorHAnsi"/>
          <w:szCs w:val="20"/>
          <w:lang w:val="uk-UA"/>
        </w:rPr>
        <w:t>ні в доларах США, по курсу обміну Н</w:t>
      </w:r>
      <w:r w:rsidR="003D5014" w:rsidRPr="00B07FB0">
        <w:rPr>
          <w:rFonts w:cstheme="minorHAnsi"/>
          <w:szCs w:val="20"/>
          <w:lang w:val="uk-UA"/>
        </w:rPr>
        <w:t>БУ</w:t>
      </w:r>
      <w:r w:rsidR="00B25519" w:rsidRPr="00B07FB0">
        <w:rPr>
          <w:rFonts w:cstheme="minorHAnsi"/>
          <w:szCs w:val="20"/>
          <w:lang w:val="uk-UA"/>
        </w:rPr>
        <w:t xml:space="preserve"> на дату подання цінової пропозиції</w:t>
      </w:r>
      <w:r w:rsidR="00673EC4" w:rsidRPr="00B07FB0">
        <w:rPr>
          <w:rFonts w:cstheme="minorHAnsi"/>
          <w:szCs w:val="20"/>
          <w:lang w:val="uk-UA"/>
        </w:rPr>
        <w:t>,</w:t>
      </w:r>
      <w:r w:rsidR="00897981" w:rsidRPr="00B07FB0">
        <w:rPr>
          <w:rFonts w:cstheme="minorHAnsi"/>
          <w:szCs w:val="20"/>
          <w:lang w:val="uk-UA"/>
        </w:rPr>
        <w:t xml:space="preserve"> </w:t>
      </w:r>
      <w:r w:rsidR="00673EC4" w:rsidRPr="00B07FB0">
        <w:rPr>
          <w:rFonts w:cstheme="minorHAnsi"/>
          <w:szCs w:val="20"/>
          <w:lang w:val="uk-UA"/>
        </w:rPr>
        <w:t>оплату буде здійснено у гривні</w:t>
      </w:r>
      <w:r w:rsidR="006B71D0" w:rsidRPr="00B07FB0">
        <w:rPr>
          <w:rFonts w:cstheme="minorHAnsi"/>
          <w:szCs w:val="20"/>
          <w:lang w:val="uk-UA"/>
        </w:rPr>
        <w:t>.</w:t>
      </w:r>
    </w:p>
    <w:p w14:paraId="4E76A99F" w14:textId="4D182C87" w:rsidR="003F36F0" w:rsidRPr="00B07FB0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B07FB0">
        <w:rPr>
          <w:rFonts w:asciiTheme="minorHAnsi" w:hAnsiTheme="minorHAnsi" w:cstheme="minorHAnsi"/>
          <w:sz w:val="20"/>
          <w:szCs w:val="20"/>
          <w:lang w:val="uk-UA"/>
        </w:rPr>
        <w:t>Вимоги до</w:t>
      </w:r>
      <w:r w:rsidR="00CE16B6" w:rsidRPr="00B07FB0">
        <w:rPr>
          <w:rFonts w:asciiTheme="minorHAnsi" w:hAnsiTheme="minorHAnsi" w:cstheme="minorHAnsi"/>
          <w:sz w:val="20"/>
          <w:szCs w:val="20"/>
          <w:lang w:val="uk-UA"/>
        </w:rPr>
        <w:t xml:space="preserve"> подання</w:t>
      </w:r>
    </w:p>
    <w:p w14:paraId="4C85EB8F" w14:textId="77777777" w:rsidR="00C268DF" w:rsidRPr="00B07FB0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Загальна інформація про постачальника</w:t>
      </w:r>
    </w:p>
    <w:p w14:paraId="4B79A047" w14:textId="42CEAB80" w:rsidR="00570262" w:rsidRPr="00B07FB0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 xml:space="preserve">Постачальники повинні заповнити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– </w:t>
      </w:r>
      <w:r w:rsidRPr="00B07FB0">
        <w:rPr>
          <w:rFonts w:asciiTheme="minorHAnsi" w:hAnsiTheme="minorHAnsi" w:cstheme="minorHAnsi"/>
          <w:szCs w:val="20"/>
          <w:lang w:val="uk-UA"/>
        </w:rPr>
        <w:t>форму «Інформація про постачальника»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і надати загальну інформацію про свою організацію, зокрема 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інформацію про контакти </w:t>
      </w:r>
      <w:r w:rsidRPr="00B07FB0">
        <w:rPr>
          <w:rFonts w:asciiTheme="minorHAnsi" w:hAnsiTheme="minorHAnsi" w:cstheme="minorHAnsi"/>
          <w:szCs w:val="20"/>
          <w:lang w:val="uk-UA"/>
        </w:rPr>
        <w:t>та довідкову інформацію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 про компанію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. Заповнений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 повинен бути включений у пакет пропозиції.</w:t>
      </w:r>
    </w:p>
    <w:p w14:paraId="342BC59B" w14:textId="216B869A" w:rsidR="003F36F0" w:rsidRPr="00B07FB0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Б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Контактні особи в 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>PATH</w:t>
      </w:r>
    </w:p>
    <w:p w14:paraId="18E724F3" w14:textId="1C492428" w:rsidR="006371AC" w:rsidRPr="00B07FB0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Технічний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/</w:t>
      </w:r>
      <w:r w:rsidRPr="00B07FB0">
        <w:rPr>
          <w:rFonts w:asciiTheme="minorHAnsi" w:hAnsiTheme="minorHAnsi" w:cstheme="minorHAnsi"/>
          <w:szCs w:val="20"/>
          <w:lang w:val="uk-UA"/>
        </w:rPr>
        <w:t>програмний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>менеджер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9233ED">
        <w:rPr>
          <w:rFonts w:asciiTheme="minorHAnsi" w:hAnsiTheme="minorHAnsi" w:cstheme="minorHAnsi"/>
          <w:szCs w:val="20"/>
          <w:lang w:val="uk-UA"/>
        </w:rPr>
        <w:t xml:space="preserve"> Шукатка Володимир,</w:t>
      </w:r>
      <w:r w:rsidR="00C90584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3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0FA4A624" w14:textId="6ABB5D3A" w:rsidR="003F36F0" w:rsidRPr="00B07FB0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Асистент з</w:t>
      </w:r>
      <w:r w:rsidR="00CE16B6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CE16B6" w:rsidRPr="00B07FB0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9233ED">
        <w:rPr>
          <w:rFonts w:asciiTheme="minorHAnsi" w:hAnsiTheme="minorHAnsi" w:cstheme="minorHAnsi"/>
          <w:szCs w:val="20"/>
          <w:lang w:val="uk-UA"/>
        </w:rPr>
        <w:t xml:space="preserve"> </w:t>
      </w:r>
      <w:r w:rsidR="00864F6E">
        <w:rPr>
          <w:rFonts w:asciiTheme="minorHAnsi" w:hAnsiTheme="minorHAnsi" w:cstheme="minorHAnsi"/>
          <w:szCs w:val="20"/>
          <w:lang w:val="uk-UA"/>
        </w:rPr>
        <w:t>Швець Юлія</w:t>
      </w:r>
      <w:r w:rsidR="009233ED">
        <w:rPr>
          <w:rFonts w:asciiTheme="minorHAnsi" w:hAnsiTheme="minorHAnsi" w:cstheme="minorHAnsi"/>
          <w:szCs w:val="20"/>
          <w:lang w:val="uk-UA"/>
        </w:rPr>
        <w:t>,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4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6D1A4018" w:rsidR="003F36F0" w:rsidRPr="00091104" w:rsidRDefault="00E55A43" w:rsidP="003C7C0F">
      <w:pPr>
        <w:pStyle w:val="PATHbodytext"/>
        <w:rPr>
          <w:rFonts w:asciiTheme="minorHAnsi" w:hAnsiTheme="minorHAnsi" w:cstheme="minorHAnsi"/>
          <w:szCs w:val="20"/>
          <w:lang w:val="ru-RU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В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Термін подання</w:t>
      </w:r>
      <w:r w:rsidR="00CE16B6" w:rsidRPr="00091104">
        <w:rPr>
          <w:rFonts w:asciiTheme="minorHAnsi" w:hAnsiTheme="minorHAnsi" w:cstheme="minorHAnsi"/>
          <w:b/>
          <w:bCs/>
          <w:szCs w:val="20"/>
          <w:lang w:val="uk-UA"/>
        </w:rPr>
        <w:t xml:space="preserve"> цінової пропозиції</w:t>
      </w:r>
      <w:r w:rsidR="003F36F0" w:rsidRPr="00091104">
        <w:rPr>
          <w:rFonts w:asciiTheme="minorHAnsi" w:hAnsiTheme="minorHAnsi" w:cstheme="minorHAnsi"/>
          <w:b/>
          <w:bCs/>
          <w:szCs w:val="20"/>
          <w:lang w:val="ru-RU"/>
        </w:rPr>
        <w:t>:</w:t>
      </w:r>
      <w:r w:rsidR="002C472D" w:rsidRPr="00091104">
        <w:rPr>
          <w:rFonts w:asciiTheme="minorHAnsi" w:hAnsiTheme="minorHAnsi" w:cstheme="minorHAnsi"/>
          <w:b/>
          <w:bCs/>
          <w:szCs w:val="20"/>
          <w:lang w:val="ru-RU"/>
        </w:rPr>
        <w:t xml:space="preserve"> </w:t>
      </w:r>
      <w:r w:rsidR="00864F6E">
        <w:rPr>
          <w:rFonts w:asciiTheme="minorHAnsi" w:hAnsiTheme="minorHAnsi" w:cstheme="minorHAnsi"/>
          <w:szCs w:val="20"/>
          <w:lang w:val="ru-RU"/>
        </w:rPr>
        <w:t>2</w:t>
      </w:r>
      <w:r w:rsidR="009233ED">
        <w:rPr>
          <w:rFonts w:asciiTheme="minorHAnsi" w:hAnsiTheme="minorHAnsi" w:cstheme="minorHAnsi"/>
          <w:szCs w:val="20"/>
          <w:lang w:val="ru-RU"/>
        </w:rPr>
        <w:t>9 червня 2026 року</w:t>
      </w:r>
      <w:r w:rsidR="0050638F">
        <w:rPr>
          <w:rFonts w:asciiTheme="minorHAnsi" w:hAnsiTheme="minorHAnsi" w:cstheme="minorHAnsi"/>
          <w:szCs w:val="20"/>
          <w:lang w:val="ru-RU"/>
        </w:rPr>
        <w:t xml:space="preserve"> 14:00</w:t>
      </w:r>
    </w:p>
    <w:p w14:paraId="0CB7CDA6" w14:textId="55FD624C" w:rsidR="003F36F0" w:rsidRPr="000B13DF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91104">
        <w:rPr>
          <w:rFonts w:asciiTheme="minorHAnsi" w:hAnsiTheme="minorHAnsi" w:cstheme="minorHAnsi"/>
          <w:szCs w:val="20"/>
          <w:lang w:val="uk-UA"/>
        </w:rPr>
        <w:lastRenderedPageBreak/>
        <w:t>Пропозиції потрібно надіслати електронною поштою на вказані вище адреси</w:t>
      </w:r>
      <w:r w:rsidR="003F36F0" w:rsidRPr="00091104">
        <w:rPr>
          <w:rFonts w:asciiTheme="minorHAnsi" w:hAnsiTheme="minorHAnsi" w:cstheme="minorHAnsi"/>
          <w:szCs w:val="20"/>
          <w:lang w:val="ru-RU"/>
        </w:rPr>
        <w:t xml:space="preserve">. </w:t>
      </w:r>
      <w:r w:rsidRPr="00091104">
        <w:rPr>
          <w:rFonts w:asciiTheme="minorHAnsi" w:hAnsiTheme="minorHAnsi" w:cstheme="minorHAnsi"/>
          <w:szCs w:val="20"/>
          <w:lang w:val="uk-UA"/>
        </w:rPr>
        <w:t xml:space="preserve">У темі електронного листа має </w:t>
      </w:r>
      <w:r w:rsidRPr="000B13DF">
        <w:rPr>
          <w:rFonts w:asciiTheme="minorHAnsi" w:hAnsiTheme="minorHAnsi" w:cstheme="minorHAnsi"/>
          <w:szCs w:val="20"/>
          <w:lang w:val="uk-UA"/>
        </w:rPr>
        <w:t>бути вказано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: </w:t>
      </w:r>
      <w:r w:rsidRPr="000B13DF">
        <w:rPr>
          <w:rFonts w:asciiTheme="minorHAnsi" w:hAnsiTheme="minorHAnsi" w:cstheme="minorHAnsi"/>
          <w:color w:val="9B0808"/>
          <w:szCs w:val="20"/>
          <w:lang w:val="uk-UA"/>
        </w:rPr>
        <w:t>ЗЦП</w:t>
      </w:r>
      <w:r w:rsidR="003F36F0" w:rsidRPr="000B13DF">
        <w:rPr>
          <w:rFonts w:asciiTheme="minorHAnsi" w:hAnsiTheme="minorHAnsi" w:cstheme="minorHAnsi"/>
          <w:color w:val="9B0808"/>
          <w:szCs w:val="20"/>
          <w:lang w:val="uk-UA"/>
        </w:rPr>
        <w:t xml:space="preserve"> </w:t>
      </w:r>
      <w:r w:rsidR="003E51BC" w:rsidRPr="000B13DF">
        <w:rPr>
          <w:rFonts w:asciiTheme="minorHAnsi" w:hAnsiTheme="minorHAnsi" w:cstheme="minorHAnsi"/>
          <w:color w:val="C00000"/>
          <w:szCs w:val="20"/>
          <w:lang w:val="uk-UA"/>
        </w:rPr>
        <w:t xml:space="preserve"># </w:t>
      </w:r>
      <w:r w:rsidR="0050638F" w:rsidRPr="0050638F">
        <w:rPr>
          <w:rFonts w:asciiTheme="minorHAnsi" w:hAnsiTheme="minorHAnsi" w:cstheme="minorHAnsi"/>
          <w:color w:val="C00000"/>
          <w:szCs w:val="20"/>
          <w:lang w:val="uk-UA"/>
        </w:rPr>
        <w:t>2026-062</w:t>
      </w:r>
      <w:r w:rsidR="0050638F" w:rsidRPr="0050638F">
        <w:rPr>
          <w:rFonts w:asciiTheme="minorHAnsi" w:hAnsiTheme="minorHAnsi" w:cstheme="minorHAnsi"/>
          <w:color w:val="C00000"/>
          <w:szCs w:val="20"/>
          <w:lang w:val="uk-UA"/>
        </w:rPr>
        <w:t xml:space="preserve"> 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[</w:t>
      </w:r>
      <w:r w:rsidRPr="000B13DF">
        <w:rPr>
          <w:rFonts w:asciiTheme="minorHAnsi" w:hAnsiTheme="minorHAnsi" w:cstheme="minorHAnsi"/>
          <w:szCs w:val="20"/>
          <w:lang w:val="uk-UA"/>
        </w:rPr>
        <w:t>назва Вашої компанії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]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. </w:t>
      </w:r>
      <w:r w:rsidRPr="000B13DF">
        <w:rPr>
          <w:rFonts w:asciiTheme="minorHAnsi" w:hAnsiTheme="minorHAnsi" w:cstheme="minorHAnsi"/>
          <w:szCs w:val="20"/>
          <w:lang w:val="uk-UA"/>
        </w:rPr>
        <w:t>Пропозиції, надані пізніше встановленого терміну, будуть відхилені</w:t>
      </w:r>
      <w:r w:rsidR="00C1488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44FD724A" w14:textId="5B81E81D" w:rsidR="001F3125" w:rsidRPr="000B13DF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8B5286" w:rsidRPr="000B13DF">
        <w:rPr>
          <w:rFonts w:asciiTheme="minorHAnsi" w:hAnsiTheme="minorHAnsi" w:cstheme="minorHAnsi"/>
          <w:b/>
          <w:bCs/>
          <w:szCs w:val="20"/>
          <w:lang w:val="uk-UA"/>
        </w:rPr>
        <w:t>Завершення процесу</w:t>
      </w:r>
      <w:r w:rsidR="006623FC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: </w:t>
      </w:r>
      <w:r w:rsidR="008B5286" w:rsidRPr="000B13DF">
        <w:rPr>
          <w:rFonts w:asciiTheme="minorHAnsi" w:hAnsiTheme="minorHAnsi" w:cstheme="minorHAnsi"/>
          <w:szCs w:val="20"/>
          <w:lang w:val="uk-UA"/>
        </w:rPr>
        <w:t>Заявникам буде повідомлення про рішення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 PATH </w:t>
      </w:r>
      <w:r w:rsidR="00E52760" w:rsidRPr="000B13DF">
        <w:rPr>
          <w:rFonts w:asciiTheme="minorHAnsi" w:hAnsiTheme="minorHAnsi" w:cstheme="minorHAnsi"/>
          <w:szCs w:val="20"/>
          <w:lang w:val="uk-UA"/>
        </w:rPr>
        <w:t>відповідно до графіку</w:t>
      </w:r>
      <w:r w:rsidR="00117594" w:rsidRPr="000B13DF">
        <w:rPr>
          <w:rFonts w:asciiTheme="minorHAnsi" w:hAnsiTheme="minorHAnsi" w:cstheme="minorHAnsi"/>
          <w:szCs w:val="20"/>
          <w:lang w:val="uk-UA"/>
        </w:rPr>
        <w:t xml:space="preserve"> в пункті 1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Укладання договору на постачання здійснюється після узгодження 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правил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викладених у цьому запиті, а також успішного обговорення усіх п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пов’язаних з виконанням цієї роботи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  <w:r w:rsidR="001F3125" w:rsidRPr="000B13DF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7A0BDB1D" w14:textId="6C6D7D8D" w:rsidR="006D1BD5" w:rsidRPr="000B13DF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6D1BD5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02D39" w:rsidRPr="000B13DF">
        <w:rPr>
          <w:rFonts w:asciiTheme="minorHAnsi" w:hAnsiTheme="minorHAnsi" w:cstheme="minorHAnsi"/>
          <w:b/>
          <w:bCs/>
          <w:szCs w:val="20"/>
          <w:lang w:val="uk-UA"/>
        </w:rPr>
        <w:t>Кваліфікація</w:t>
      </w:r>
    </w:p>
    <w:p w14:paraId="43F0C4CC" w14:textId="6108D078" w:rsidR="006D1BD5" w:rsidRPr="000B13DF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</w:t>
      </w:r>
      <w:r w:rsidR="006D1BD5"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:</w:t>
      </w:r>
    </w:p>
    <w:p w14:paraId="06BA8D98" w14:textId="511271B6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.</w:t>
      </w:r>
    </w:p>
    <w:p w14:paraId="3DD6BEA2" w14:textId="3A8AB095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Зверніть увагу, претенденти повинні заявити в своїй пропозиції</w:t>
      </w:r>
      <w:r w:rsidR="00E55A43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про те</w:t>
      </w: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</w:t>
      </w:r>
    </w:p>
    <w:p w14:paraId="725C3274" w14:textId="4C6E6BD3" w:rsidR="006D1BD5" w:rsidRPr="000B13DF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0B13DF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Відповідний вид економічної діяльності зазначений в установчих документах, що дозволяє продавати вказане в Лоті 1 обладнання. </w:t>
      </w:r>
    </w:p>
    <w:p w14:paraId="560871AB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6D1BD5" w:rsidRPr="0050638F" w14:paraId="10671B6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8BC2" w14:textId="4EC914C4" w:rsidR="006D1BD5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931" w14:textId="77777777" w:rsidR="00071CD6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Підтверджуючі  документи </w:t>
            </w:r>
          </w:p>
          <w:p w14:paraId="56AB9B06" w14:textId="529F04F3" w:rsidR="006D1BD5" w:rsidRPr="000B13DF" w:rsidRDefault="006D1BD5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</w:t>
            </w:r>
            <w:r w:rsidR="00071CD6"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завіренні печаткою організації та підписом уповноваженої особи</w:t>
            </w: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6D1BD5" w:rsidRPr="0050638F" w14:paraId="2010693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F26" w14:textId="5FA21837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Приватні підприємства, акціонерні товариства, ТОВ, ФОП відповідно до </w:t>
            </w:r>
            <w:proofErr w:type="spellStart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законодавста</w:t>
            </w:r>
            <w:proofErr w:type="spellEnd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 України</w:t>
            </w:r>
            <w:r w:rsidR="006D1BD5" w:rsidRPr="000B13D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95C" w14:textId="0C627009" w:rsidR="00495E9E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693B2027" w14:textId="38E2D365" w:rsidR="006D1BD5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75296EF7" w14:textId="77777777" w:rsidR="00495E9E" w:rsidRPr="000B13DF" w:rsidRDefault="00495E9E" w:rsidP="000911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601BA832" w14:textId="77777777" w:rsidR="006D1BD5" w:rsidRPr="000B13DF" w:rsidRDefault="006D1BD5" w:rsidP="006623FC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D1BD5" w:rsidRPr="000B13DF" w14:paraId="1D53664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6821" w14:textId="29EAD2B4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="007A4C25" w:rsidRPr="000B13DF" w:rsidDel="004F755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5DD5B76C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BF2" w14:textId="77777777" w:rsidR="00495E9E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Документальні підтвердження надаються </w:t>
            </w:r>
          </w:p>
          <w:p w14:paraId="1FBACC87" w14:textId="77777777" w:rsidR="00495E9E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 довільній формі</w:t>
            </w:r>
            <w:r w:rsidR="006623FC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посилання на основні </w:t>
            </w:r>
          </w:p>
          <w:p w14:paraId="42F07208" w14:textId="75B6ED24" w:rsidR="006D1BD5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успішні договори</w:t>
            </w:r>
          </w:p>
        </w:tc>
      </w:tr>
      <w:tr w:rsidR="006D1BD5" w:rsidRPr="000B13DF" w14:paraId="4BC5A86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EB83" w14:textId="655C216B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>Загальна інформація про компанію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CBE5" w14:textId="6EA573A6" w:rsidR="006D1BD5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Заповнений Додаток 2</w:t>
            </w:r>
          </w:p>
          <w:p w14:paraId="1B6BD8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3660475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D1BD5" w:rsidRPr="0050638F" w14:paraId="00EFD6D8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AEEA" w14:textId="6B952FD6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787540FD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454B1F06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DF1FF6B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19AC234" w14:textId="3FA4DC61" w:rsidR="006D1BD5" w:rsidRPr="000B13DF" w:rsidRDefault="009233ED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Наявність обладнання в Україні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E8C8" w14:textId="5C529047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Копія документа, що підтверджує фінансовий стан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компанії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(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довідка, видана обслуговуючим банком(</w:t>
            </w:r>
            <w:proofErr w:type="spellStart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3BA71A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4B8F6ED" w14:textId="41910493" w:rsidR="006D1BD5" w:rsidRPr="000B13DF" w:rsidRDefault="006623FC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Надайте офіційного листа, що підтверджує фактичне знаходження товарів в Україні</w:t>
            </w:r>
          </w:p>
          <w:p w14:paraId="16E59773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C11DB90" w14:textId="77777777" w:rsidR="006D1BD5" w:rsidRPr="000B13DF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0B13DF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</w:p>
    <w:p w14:paraId="1A86A470" w14:textId="57B7DB14" w:rsidR="006D1BD5" w:rsidRPr="000B13DF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.</w:t>
      </w:r>
    </w:p>
    <w:p w14:paraId="3A5F26E8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0B13DF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 xml:space="preserve">* </w:t>
      </w:r>
      <w:r w:rsidR="009D1F2F"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</w:t>
      </w: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”.</w:t>
      </w:r>
    </w:p>
    <w:p w14:paraId="18BCAE12" w14:textId="253D7576" w:rsidR="003F36F0" w:rsidRPr="000B13DF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5B19F3" w:rsidRPr="000B13DF">
        <w:rPr>
          <w:rFonts w:asciiTheme="minorHAnsi" w:hAnsiTheme="minorHAnsi" w:cstheme="minorHAnsi"/>
          <w:b/>
          <w:bCs/>
          <w:szCs w:val="20"/>
          <w:lang w:val="uk-UA"/>
        </w:rPr>
        <w:t>Повідомлення про відсутність зобов’язання щодо пропозицій</w:t>
      </w:r>
    </w:p>
    <w:p w14:paraId="62B64AF5" w14:textId="0457C2A2" w:rsidR="005542B5" w:rsidRPr="000B13DF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подання цінових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прпозицій</w:t>
      </w:r>
      <w:proofErr w:type="spellEnd"/>
      <w:r w:rsidRPr="000B13DF">
        <w:rPr>
          <w:rFonts w:asciiTheme="minorHAnsi" w:hAnsiTheme="minorHAnsi" w:cstheme="minorHAnsi"/>
          <w:szCs w:val="20"/>
          <w:lang w:val="uk-UA"/>
        </w:rPr>
        <w:t xml:space="preserve">, і жодним чином не зобов’язана приймати будь-яку цінову пропозицію, відповідно до документації, Політик та Процедур РАТН.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0B13DF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0B13DF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й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зап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ит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буде розглядатися як суворо конфіденційна, якщо не зазначено інше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5952B317" w14:textId="482D4AE3" w:rsidR="003F36F0" w:rsidRPr="000B13DF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30FE5B99" w:rsidR="003F36F0" w:rsidRPr="009B3E30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</w:t>
      </w:r>
      <w:r w:rsidR="00AE0176" w:rsidRPr="000B13DF">
        <w:rPr>
          <w:rFonts w:asciiTheme="minorHAnsi" w:hAnsiTheme="minorHAnsi" w:cstheme="minorHAnsi"/>
          <w:szCs w:val="20"/>
          <w:lang w:val="uk-UA"/>
        </w:rPr>
        <w:t>запитах цінових проп</w:t>
      </w:r>
      <w:r w:rsidR="00DF653B" w:rsidRPr="000B13DF">
        <w:rPr>
          <w:rFonts w:asciiTheme="minorHAnsi" w:hAnsiTheme="minorHAnsi" w:cstheme="minorHAnsi"/>
          <w:szCs w:val="20"/>
          <w:lang w:val="uk-UA"/>
        </w:rPr>
        <w:t>озицій</w:t>
      </w:r>
      <w:r w:rsidR="00AE0176" w:rsidRPr="000B13DF">
        <w:rPr>
          <w:rFonts w:asciiTheme="minorHAnsi" w:hAnsiTheme="minorHAnsi" w:cstheme="minorHAnsi"/>
          <w:szCs w:val="20"/>
          <w:lang w:val="uk-UA"/>
        </w:rPr>
        <w:t xml:space="preserve"> 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PATH, повинні заявити контактній особі щодо цього ЗЦП, яка вказана у цьому запиті, про будь-який наявний чи потенційний конфлікт інтересів.  Конфлікт інтересів може бути наявним, якщо: існують особисті стосунки з співробітником </w:t>
      </w:r>
      <w:r w:rsidRPr="000B13DF">
        <w:rPr>
          <w:rFonts w:asciiTheme="minorHAnsi" w:hAnsiTheme="minorHAnsi" w:cstheme="minorHAnsi"/>
          <w:szCs w:val="20"/>
          <w:lang w:val="uk-UA"/>
        </w:rPr>
        <w:lastRenderedPageBreak/>
        <w:t xml:space="preserve">РАТН, які становлять значний фінансовий інтерес, членство в правлінні, інша посада, право </w:t>
      </w:r>
      <w:r w:rsidRPr="009B3E30">
        <w:rPr>
          <w:rFonts w:asciiTheme="minorHAnsi" w:hAnsiTheme="minorHAnsi" w:cstheme="minorHAnsi"/>
          <w:szCs w:val="20"/>
          <w:lang w:val="uk-UA"/>
        </w:rPr>
        <w:t>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.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</w:t>
      </w:r>
      <w:r w:rsidR="001D1844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Усі повідомлення щодо цього запиту слід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від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правляти відповідним сторонам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 xml:space="preserve">у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PATH,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вказа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ним у Розділі 5 </w:t>
      </w:r>
      <w:r w:rsidR="00EE4A00" w:rsidRPr="009B3E30">
        <w:rPr>
          <w:rFonts w:asciiTheme="minorHAnsi" w:hAnsiTheme="minorHAnsi" w:cstheme="minorHAnsi"/>
          <w:szCs w:val="20"/>
          <w:lang w:val="uk-UA"/>
        </w:rPr>
        <w:t>B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216C751D" w14:textId="4E52ABE9" w:rsidR="006623FC" w:rsidRPr="009B3E30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Прийняття</w:t>
      </w:r>
    </w:p>
    <w:p w14:paraId="06969438" w14:textId="3C79C745" w:rsidR="009B3E30" w:rsidRPr="009B3E30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фінанлістів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 xml:space="preserve"> ЗЦП шляхом переговорів. Крім того, РАТН може прийняти частину компонентів або змінити кількість найменувань у пропозиції, якщо це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9B3E30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Дійсність пропозиції    </w:t>
      </w:r>
    </w:p>
    <w:p w14:paraId="14A2165A" w14:textId="6C1E9385" w:rsidR="00243442" w:rsidRPr="009B3E30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</w:t>
      </w:r>
      <w:r w:rsidR="0062413A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Pr="009B3E30">
        <w:rPr>
          <w:rFonts w:asciiTheme="minorHAnsi" w:hAnsiTheme="minorHAnsi" w:cstheme="minorHAnsi"/>
          <w:szCs w:val="20"/>
          <w:lang w:val="uk-UA"/>
        </w:rPr>
        <w:t>встановленої для надання. Термін дійсності пропозиції повинен бути вказаний у самій пропозиції</w:t>
      </w:r>
      <w:r w:rsidR="00D13019" w:rsidRPr="009B3E30">
        <w:rPr>
          <w:rFonts w:asciiTheme="minorHAnsi" w:hAnsiTheme="minorHAnsi" w:cstheme="minorHAnsi"/>
          <w:szCs w:val="20"/>
          <w:lang w:val="uk-UA"/>
        </w:rPr>
        <w:t>.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341985" w:rsidRPr="009B3E30">
        <w:rPr>
          <w:rFonts w:asciiTheme="minorHAnsi" w:hAnsiTheme="minorHAnsi" w:cstheme="minorHAnsi"/>
          <w:szCs w:val="20"/>
          <w:lang w:val="uk-UA"/>
        </w:rPr>
        <w:t>Оплата буде здійснена після погодження донором проєкту закупівлі обраних найменувань</w:t>
      </w:r>
      <w:r w:rsidR="003A4FCF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05F75B46" w14:textId="77777777" w:rsidR="00665CA7" w:rsidRPr="009B3E30" w:rsidRDefault="00665CA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A34F5CF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9630C23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BC3A4E4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61E6CA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89E9258" w14:textId="77777777" w:rsidR="0062413A" w:rsidRPr="009B3E30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159039F" w14:textId="77777777" w:rsidR="00091104" w:rsidRPr="009B3E30" w:rsidRDefault="00091104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ED7274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93505C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3DED3F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51D03F85" w14:textId="77777777" w:rsidR="00A202E9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9D164D9" w14:textId="77777777" w:rsidR="00864F6E" w:rsidRPr="009B3E30" w:rsidRDefault="00864F6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D24318" w14:textId="77777777" w:rsidR="00733AEC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6F98CC8B" w14:textId="77777777" w:rsidR="0050638F" w:rsidRDefault="0050638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C13A512" w14:textId="77777777" w:rsidR="0050638F" w:rsidRPr="009B3E30" w:rsidRDefault="0050638F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7438CCC" w14:textId="670D4B5B" w:rsidR="00DF233D" w:rsidRPr="009B3E30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</w:t>
      </w:r>
      <w:r w:rsidR="00147B28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</w:t>
      </w:r>
      <w:r w:rsidR="00DF233D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1 </w:t>
      </w:r>
    </w:p>
    <w:p w14:paraId="0733AEB2" w14:textId="77777777" w:rsidR="0050638F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color w:val="C00000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9B3E30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9B3E30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# </w:t>
      </w:r>
      <w:r w:rsidR="0050638F" w:rsidRPr="0050638F">
        <w:rPr>
          <w:rFonts w:asciiTheme="minorHAnsi" w:hAnsiTheme="minorHAnsi" w:cstheme="minorHAnsi"/>
          <w:color w:val="C00000"/>
          <w:sz w:val="20"/>
          <w:szCs w:val="20"/>
          <w:lang w:val="uk-UA"/>
        </w:rPr>
        <w:t>2026-062</w:t>
      </w:r>
    </w:p>
    <w:p w14:paraId="1F2EE61B" w14:textId="7B3A509E" w:rsidR="004A2953" w:rsidRPr="009B3E30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056C113" w14:textId="77777777" w:rsidR="00147B28" w:rsidRPr="009B3E30" w:rsidRDefault="00147B28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23"/>
        <w:gridCol w:w="5277"/>
        <w:gridCol w:w="3002"/>
      </w:tblGrid>
      <w:tr w:rsidR="00147B28" w:rsidRPr="009B3E30" w14:paraId="2859D72B" w14:textId="77777777" w:rsidTr="00665CA7">
        <w:tc>
          <w:tcPr>
            <w:tcW w:w="622" w:type="dxa"/>
          </w:tcPr>
          <w:p w14:paraId="4EBCBC95" w14:textId="77777777" w:rsidR="00147B28" w:rsidRPr="009B3E30" w:rsidRDefault="00147B28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399B715A" w14:textId="7FCD67C7" w:rsidR="00147B28" w:rsidRPr="009B3E30" w:rsidRDefault="004D7F02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002" w:type="dxa"/>
          </w:tcPr>
          <w:p w14:paraId="1B585FA4" w14:textId="65B070C7" w:rsidR="00147B28" w:rsidRPr="009B3E30" w:rsidRDefault="004D7F02" w:rsidP="004D7F02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147B28" w:rsidRPr="009B3E30" w14:paraId="3714EABC" w14:textId="77777777" w:rsidTr="00665CA7">
        <w:tc>
          <w:tcPr>
            <w:tcW w:w="8924" w:type="dxa"/>
            <w:gridSpan w:val="4"/>
          </w:tcPr>
          <w:p w14:paraId="19A05621" w14:textId="77777777" w:rsidR="00147B28" w:rsidRPr="009B3E30" w:rsidRDefault="00147B28" w:rsidP="009F4BDA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147B28" w:rsidRPr="009B3E30" w14:paraId="52A11FB3" w14:textId="77777777" w:rsidTr="00665CA7">
        <w:trPr>
          <w:trHeight w:val="405"/>
        </w:trPr>
        <w:tc>
          <w:tcPr>
            <w:tcW w:w="8924" w:type="dxa"/>
            <w:gridSpan w:val="4"/>
          </w:tcPr>
          <w:p w14:paraId="387DF15C" w14:textId="5E9CCA06" w:rsidR="00147B28" w:rsidRPr="009B3E30" w:rsidRDefault="004D7F02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</w:p>
        </w:tc>
      </w:tr>
      <w:tr w:rsidR="004D7F02" w:rsidRPr="009B3E30" w14:paraId="295DBDDA" w14:textId="77777777" w:rsidTr="00665CA7">
        <w:tc>
          <w:tcPr>
            <w:tcW w:w="645" w:type="dxa"/>
            <w:gridSpan w:val="2"/>
          </w:tcPr>
          <w:p w14:paraId="0A4A0899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55387EA4" w14:textId="2263D4CD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002" w:type="dxa"/>
          </w:tcPr>
          <w:p w14:paraId="735F4818" w14:textId="6919E9D9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48D3E5A5" w14:textId="77777777" w:rsidTr="00665CA7">
        <w:tc>
          <w:tcPr>
            <w:tcW w:w="645" w:type="dxa"/>
            <w:gridSpan w:val="2"/>
          </w:tcPr>
          <w:p w14:paraId="0C4914DD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6AB20C65" w14:textId="6CCFDD3E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002" w:type="dxa"/>
          </w:tcPr>
          <w:p w14:paraId="4B925BAD" w14:textId="37AA245A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6212C4FB" w14:textId="77777777" w:rsidTr="00665CA7">
        <w:tc>
          <w:tcPr>
            <w:tcW w:w="645" w:type="dxa"/>
            <w:gridSpan w:val="2"/>
          </w:tcPr>
          <w:p w14:paraId="041DD711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77" w:type="dxa"/>
          </w:tcPr>
          <w:p w14:paraId="07D05EC7" w14:textId="239C5527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002" w:type="dxa"/>
          </w:tcPr>
          <w:p w14:paraId="5FD0A33A" w14:textId="065C6114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570BDB0C" w14:textId="77777777" w:rsidTr="00665CA7">
        <w:tc>
          <w:tcPr>
            <w:tcW w:w="645" w:type="dxa"/>
            <w:gridSpan w:val="2"/>
          </w:tcPr>
          <w:p w14:paraId="051BB405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12D5C756" w14:textId="7397994C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002" w:type="dxa"/>
          </w:tcPr>
          <w:p w14:paraId="2E4CE577" w14:textId="56DB2D45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775ADD69" w14:textId="77777777" w:rsidTr="00665CA7">
        <w:tc>
          <w:tcPr>
            <w:tcW w:w="645" w:type="dxa"/>
            <w:gridSpan w:val="2"/>
          </w:tcPr>
          <w:p w14:paraId="7CDF4CDF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1D950E56" w14:textId="67F806D3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002" w:type="dxa"/>
          </w:tcPr>
          <w:p w14:paraId="7A53AE83" w14:textId="7B08240F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47B28" w:rsidRPr="009B3E30" w14:paraId="63949FE0" w14:textId="77777777" w:rsidTr="00665CA7">
        <w:tc>
          <w:tcPr>
            <w:tcW w:w="8924" w:type="dxa"/>
            <w:gridSpan w:val="4"/>
          </w:tcPr>
          <w:p w14:paraId="73ECEEDE" w14:textId="6773F411" w:rsidR="00147B28" w:rsidRPr="009B3E30" w:rsidRDefault="00147B28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</w:t>
            </w:r>
            <w:r w:rsidR="004D7F02"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вимоги</w:t>
            </w: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:</w:t>
            </w:r>
          </w:p>
        </w:tc>
      </w:tr>
      <w:tr w:rsidR="00147B28" w:rsidRPr="009B3E30" w14:paraId="2D4C041D" w14:textId="77777777" w:rsidTr="00665CA7">
        <w:tc>
          <w:tcPr>
            <w:tcW w:w="645" w:type="dxa"/>
            <w:gridSpan w:val="2"/>
          </w:tcPr>
          <w:p w14:paraId="57C63D80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</w:tcPr>
          <w:p w14:paraId="6B322B44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7EB2D2C0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9B3E30" w14:paraId="7A5FE4CD" w14:textId="77777777" w:rsidTr="00665CA7">
        <w:tc>
          <w:tcPr>
            <w:tcW w:w="645" w:type="dxa"/>
            <w:gridSpan w:val="2"/>
          </w:tcPr>
          <w:p w14:paraId="5846A9D2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2.2</w:t>
            </w:r>
          </w:p>
        </w:tc>
        <w:tc>
          <w:tcPr>
            <w:tcW w:w="5277" w:type="dxa"/>
          </w:tcPr>
          <w:p w14:paraId="29EDBC9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2069153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  <w:tr w:rsidR="00147B28" w:rsidRPr="009B3E30" w14:paraId="602AEFA2" w14:textId="77777777" w:rsidTr="00665CA7">
        <w:tc>
          <w:tcPr>
            <w:tcW w:w="645" w:type="dxa"/>
            <w:gridSpan w:val="2"/>
          </w:tcPr>
          <w:p w14:paraId="4BD9760C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2.3</w:t>
            </w:r>
          </w:p>
        </w:tc>
        <w:tc>
          <w:tcPr>
            <w:tcW w:w="5277" w:type="dxa"/>
          </w:tcPr>
          <w:p w14:paraId="709281A6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  <w:tc>
          <w:tcPr>
            <w:tcW w:w="3002" w:type="dxa"/>
          </w:tcPr>
          <w:p w14:paraId="3F84AE99" w14:textId="77777777" w:rsidR="00147B28" w:rsidRPr="009B3E30" w:rsidRDefault="00147B28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</w:p>
        </w:tc>
      </w:tr>
    </w:tbl>
    <w:p w14:paraId="4CEA84AB" w14:textId="77777777" w:rsidR="00501BFE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720"/>
        <w:gridCol w:w="6210"/>
        <w:gridCol w:w="2070"/>
        <w:gridCol w:w="1800"/>
      </w:tblGrid>
      <w:tr w:rsidR="009233ED" w:rsidRPr="00247C2A" w14:paraId="7445DF86" w14:textId="77777777" w:rsidTr="00C56C53">
        <w:tc>
          <w:tcPr>
            <w:tcW w:w="720" w:type="dxa"/>
            <w:vAlign w:val="center"/>
          </w:tcPr>
          <w:p w14:paraId="536D8CAF" w14:textId="77777777" w:rsidR="009233ED" w:rsidRPr="00247C2A" w:rsidRDefault="009233ED" w:rsidP="00C56C5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210" w:type="dxa"/>
            <w:vAlign w:val="center"/>
          </w:tcPr>
          <w:p w14:paraId="2CBAE620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Назва товару</w:t>
            </w:r>
          </w:p>
        </w:tc>
        <w:tc>
          <w:tcPr>
            <w:tcW w:w="2070" w:type="dxa"/>
            <w:vAlign w:val="center"/>
          </w:tcPr>
          <w:p w14:paraId="191B1738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800" w:type="dxa"/>
            <w:vAlign w:val="center"/>
          </w:tcPr>
          <w:p w14:paraId="3F567EA9" w14:textId="77777777" w:rsidR="009233ED" w:rsidRPr="00247C2A" w:rsidRDefault="009233ED" w:rsidP="00C56C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247C2A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Одиниця виміру</w:t>
            </w:r>
          </w:p>
        </w:tc>
      </w:tr>
      <w:tr w:rsidR="009233ED" w:rsidRPr="00247C2A" w14:paraId="11C3C75D" w14:textId="77777777" w:rsidTr="00C56C53">
        <w:tc>
          <w:tcPr>
            <w:tcW w:w="720" w:type="dxa"/>
            <w:vAlign w:val="center"/>
          </w:tcPr>
          <w:p w14:paraId="379D187B" w14:textId="77777777" w:rsidR="009233ED" w:rsidRPr="00247C2A" w:rsidRDefault="009233E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247C2A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1</w:t>
            </w:r>
          </w:p>
        </w:tc>
        <w:tc>
          <w:tcPr>
            <w:tcW w:w="6210" w:type="dxa"/>
            <w:vAlign w:val="center"/>
          </w:tcPr>
          <w:p w14:paraId="20C109D1" w14:textId="39F83AAD" w:rsidR="009233ED" w:rsidRPr="009233ED" w:rsidRDefault="0058089E" w:rsidP="00C56C53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58089E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Ендоскопічна стійка</w:t>
            </w:r>
            <w:r w:rsidR="009233ED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для ЗОЗ Львівської області</w:t>
            </w:r>
          </w:p>
        </w:tc>
        <w:tc>
          <w:tcPr>
            <w:tcW w:w="2070" w:type="dxa"/>
            <w:vAlign w:val="center"/>
          </w:tcPr>
          <w:p w14:paraId="28A25651" w14:textId="77777777" w:rsidR="009233ED" w:rsidRPr="00247C2A" w:rsidRDefault="009233ED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 w:rsidRPr="00247C2A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1</w:t>
            </w:r>
          </w:p>
        </w:tc>
        <w:tc>
          <w:tcPr>
            <w:tcW w:w="1800" w:type="dxa"/>
            <w:vAlign w:val="center"/>
          </w:tcPr>
          <w:p w14:paraId="76D62E86" w14:textId="786CCBA0" w:rsidR="009233ED" w:rsidRPr="00247C2A" w:rsidRDefault="00864F6E" w:rsidP="00C56C53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комплект</w:t>
            </w:r>
            <w:r w:rsidR="009233ED">
              <w:rPr>
                <w:rFonts w:asciiTheme="minorHAnsi" w:eastAsia="Times New Roman" w:hAnsiTheme="minorHAnsi" w:cstheme="minorHAnsi"/>
                <w:szCs w:val="18"/>
                <w:lang w:val="uk-UA" w:eastAsia="uk-UA"/>
              </w:rPr>
              <w:t>.</w:t>
            </w:r>
          </w:p>
        </w:tc>
      </w:tr>
    </w:tbl>
    <w:p w14:paraId="742891C8" w14:textId="77777777" w:rsidR="009233ED" w:rsidRDefault="009233ED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pPr w:leftFromText="180" w:rightFromText="180" w:vertAnchor="text" w:horzAnchor="margin" w:tblpX="-620" w:tblpY="167"/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5"/>
        <w:gridCol w:w="6024"/>
        <w:gridCol w:w="2268"/>
        <w:gridCol w:w="1843"/>
      </w:tblGrid>
      <w:tr w:rsidR="001A7B2F" w:rsidRPr="0050638F" w14:paraId="38BABD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9AED357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B20405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2EEA917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20405">
              <w:rPr>
                <w:rFonts w:asciiTheme="minorHAnsi" w:hAnsiTheme="minorHAnsi" w:cstheme="minorHAnsi"/>
              </w:rPr>
              <w:t>Характеристики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B431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20405">
              <w:rPr>
                <w:rFonts w:asciiTheme="minorHAnsi" w:hAnsiTheme="minorHAnsi" w:cstheme="minorHAnsi"/>
              </w:rPr>
              <w:t>Значення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7AA" w14:textId="77777777" w:rsidR="001A7B2F" w:rsidRPr="00B20405" w:rsidRDefault="001A7B2F" w:rsidP="001A7B2F">
            <w:pPr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val="ru-RU"/>
              </w:rPr>
            </w:pP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Відповідність</w:t>
            </w:r>
            <w:proofErr w:type="spellEnd"/>
          </w:p>
          <w:p w14:paraId="39E122C2" w14:textId="77777777" w:rsidR="001A7B2F" w:rsidRPr="00B20405" w:rsidRDefault="001A7B2F" w:rsidP="001A7B2F">
            <w:pPr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val="ru-RU"/>
              </w:rPr>
            </w:pPr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(так/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ні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)</w:t>
            </w:r>
          </w:p>
          <w:p w14:paraId="0CFF49B1" w14:textId="77777777" w:rsidR="001A7B2F" w:rsidRPr="00B20405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lang w:val="ru-RU" w:eastAsia="ar-SA"/>
              </w:rPr>
            </w:pPr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з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посиланням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на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сторінки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технічної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документації</w:t>
            </w:r>
            <w:proofErr w:type="spellEnd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B20405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виробника</w:t>
            </w:r>
            <w:proofErr w:type="spellEnd"/>
          </w:p>
        </w:tc>
      </w:tr>
      <w:tr w:rsidR="001A7B2F" w14:paraId="5B45FC4E" w14:textId="77777777" w:rsidTr="001A7B2F">
        <w:trPr>
          <w:trHeight w:val="20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EFC2C8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Ендоскопічна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стійка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комплект</w:t>
            </w:r>
            <w:proofErr w:type="spellEnd"/>
          </w:p>
        </w:tc>
      </w:tr>
      <w:tr w:rsidR="001A7B2F" w14:paraId="0E0B719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ED2982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5E2CA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Монітор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3E6F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A6DF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6BAF65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811404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DC24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діагоналлю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744FD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31,5"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2760D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FD7E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8A3B1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0A55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IPS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матриця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75350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7FC035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CA2EC2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E53F6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4BD294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Антивідблискове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захисне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скло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E6709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7A8091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E6316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49835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40297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Вологозахист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корпусу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  <w:p w14:paraId="3482E50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передня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панель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IP65</w:t>
            </w:r>
          </w:p>
          <w:p w14:paraId="1C9976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панель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IP45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5CD86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E7564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8552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02BC4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FE95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Одночасне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4-х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одному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DA95E68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977C38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52606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8B230C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7062AF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Сенсорні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кнопки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AB3C6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39A3EC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E4AE1C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74987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E0B7F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виходи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FE062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12G-SDI(x1), 3G-SDI(x3), HDMI 2.0(x1), DVI (x1)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3EB8F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3684F5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9C4677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C2D1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Яскравість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FA18F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550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/м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9CF4CD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F668E1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B8988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C0E1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Контрастність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966B5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1000:1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A00181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303D7A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6645E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A955DB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стандарту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Rec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.709 з гамма-кривою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Gamma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2.2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коректної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тональних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градацій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389C9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9DCB47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99993D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574F1C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6BCCB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розширеного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колірного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простору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BT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C993A2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58FAC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A0A7D5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CA4A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99A3D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Кут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огляду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301D1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178⁰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D7EF76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9B0006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77A65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35E7E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Роздільна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здатність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0E192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пікселів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E8BD3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496BB7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0D7C2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6128E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кольорів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6C0BD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1.07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млрд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0F860F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681410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A207F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194D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Вага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B57003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13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96DBF7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C0ED7A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7A8D9DA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3BA4309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Головка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AA64A4" w14:textId="77777777" w:rsidR="001A7B2F" w:rsidRPr="00C10520" w:rsidRDefault="001A7B2F" w:rsidP="001A7B2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E3E68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78B7A0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74E88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0899E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1CMOS 4К UHD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сенсор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05AC4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5AF0CD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B5AC19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CD6338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8427C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Роздільна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здатність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8F6AD5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пікселів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640D3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968661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C12E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132F8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глибини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різкості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C1441B0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3-200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28D46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51CACB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521DD9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3FDEF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Програмовані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кнопки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головці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5ACC5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кнопок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5E923B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:rsidRPr="0050638F" w14:paraId="12D872D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81B973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84060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кнопках,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E8CCB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баланс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фокус+,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фокус-;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запис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захоплення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фіксація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кадру (заморозка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масштабування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зум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/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202072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4CE5C6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BAE45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D5F06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Об’єктив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змінною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фокусною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відстанню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75B99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14 - 35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5D21C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0AE2C1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5F47CB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615A0A" w14:textId="77777777" w:rsidR="001A7B2F" w:rsidRPr="00C10520" w:rsidRDefault="001A7B2F" w:rsidP="001A7B2F">
            <w:pPr>
              <w:widowControl w:val="0"/>
              <w:spacing w:after="0" w:line="240" w:lineRule="auto"/>
              <w:ind w:right="-147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Співвідношення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сигнал/шум,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C7F82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57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68753F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31972F2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DE28A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CA4E49" w14:textId="77777777" w:rsidR="001A7B2F" w:rsidRPr="00C10520" w:rsidRDefault="001A7B2F" w:rsidP="001A7B2F">
            <w:pPr>
              <w:widowControl w:val="0"/>
              <w:spacing w:after="0" w:line="240" w:lineRule="auto"/>
              <w:ind w:right="-147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вологозахисту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2A022B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IPX7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A1CF36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8D4B86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FF9872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C2805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Вага головки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C17027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450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F8620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7C03A9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B2FA7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3EB5A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кабелю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4CB205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A428D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BB7897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4949550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30EB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Блок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керування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камерою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C6000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FD126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EA64C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20FC0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B71B77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форматі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технологія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4к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UHD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(3840х2160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пікселів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98341D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13F4E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349BB29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CCC19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ECA0D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Сенсорний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CE3252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7”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1458B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9C6212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41EB2C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8BE56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виходи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9190CD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HDMI 2.0 (x1), DVI(x1), 3G-SDI (x1), 3G-SDI(x4) (12G-SDIx1)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0DCE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134DCF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F2640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DF352D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USB-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інтерфейси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ABE62E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 3.0 (x1); USB 2.0 (x2)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E49BA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EAA70C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40DD48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19E64D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Збереження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фото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відео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USB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накопичувач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: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4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якості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48EFE8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C7F90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:rsidRPr="0050638F" w14:paraId="1B49E5B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B4F19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A4CDE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Спеціальні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алгоритми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покращення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7CCD0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покращення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деталізації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колірного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тону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режим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придушення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муарового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ефекту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динамічного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HDR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D317E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4A1EA0D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CFF939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3CE2B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електронного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/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7731B6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збільшення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 ×1,0 – ×5,0</w:t>
            </w:r>
          </w:p>
          <w:p w14:paraId="25F04193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зменшення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 ×0,5 – ×1,0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D106C7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501D7B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0D69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193E2C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автоматичного балансу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AWB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пам'яттю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останніх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16EEED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7CE6B9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16B8F5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BC9F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934F78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Підтримка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хірургічних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сценаріїв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блок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повинен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забезпечувати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якісне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лапароскопії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торакоскопії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уретероскопії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гістероскопії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ЛОР,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артроскопії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вентрикулоскопії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0086A6E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DE7D1E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4E75F1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667A8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B6DA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блоку</w:t>
            </w:r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керування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камерою,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EEC81E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410 х 360 х 120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240A42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BAE92E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B36C74C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888A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Джерело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світла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2F5238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71ED6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AB7E50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4701E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202401" w14:textId="77777777" w:rsidR="001A7B2F" w:rsidRPr="00C10520" w:rsidRDefault="001A7B2F" w:rsidP="001A7B2F">
            <w:pPr>
              <w:widowControl w:val="0"/>
              <w:spacing w:after="0" w:line="240" w:lineRule="auto"/>
              <w:ind w:right="-1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світла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A11F93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світлодіодне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(LED)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930F1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E31F6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DB779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88DC5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Вбудований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захист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перегріву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678C2E6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D9E99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E29037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73841D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43323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Термін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служби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світлодіодів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EA691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60 000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годин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CE233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68D555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76BEF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4885E7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температури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E9E0F64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3000-7000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C166B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6FBA2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0FB78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01B15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яскравістю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FCCF2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рівнів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5A53F0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C8E9EE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C46008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8F0D1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інтенсивності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F60139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99C7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3C68BC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73CAD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339140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Сенсорний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екран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C2821F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7”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406CBD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F185AC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ED7CF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DF7B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Індекс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кольору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CRI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79D352C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0DD7B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B5B7DD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45F1D9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0001F6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джерела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світла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FC06BB5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410 х 360 х 110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F0E3A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5B108E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F6EBE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C4FE7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Високопродуктивний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світловодний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кабель,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 м, Ø 4.8мм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6631D9A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739F3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D35882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3B07285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262C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Інсуфлятор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95C341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7081E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27138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9B675A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CD386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Мікропроцесорне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F996F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22645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50638F" w14:paraId="7CCA3B5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C98061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2F420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газопостачання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04E8E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газового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балона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CO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ru-RU" w:eastAsia="ar-SA"/>
              </w:rPr>
              <w:t>2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; 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центральної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системи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газопостачання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68928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1F6EDE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553E4A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76D4E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Максимальна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швидкість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D332E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45 л/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хв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53D71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5527C6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B6CE5F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BE7FE9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точністю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 мм рт. ст.,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3DBF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0 ÷ 30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.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9D6178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D2F31F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87C334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FC7B77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Інтегрована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система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підігріву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D5D1B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DBBE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24AADD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69D9E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E06F6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Автоматична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самоперевірка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1E0CE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3E2790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50638F" w14:paraId="2AC7EE5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5FC850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3870DB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Цифрова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індикація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F251E1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подачі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газу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;</w:t>
            </w:r>
          </w:p>
          <w:p w14:paraId="0E00033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пацієнта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встановлений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(мм рт. ст.);</w:t>
            </w:r>
          </w:p>
          <w:p w14:paraId="31882AE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 (л);</w:t>
            </w:r>
          </w:p>
          <w:p w14:paraId="4FE386A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відображення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потоку газу (л/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хв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);</w:t>
            </w:r>
          </w:p>
          <w:p w14:paraId="66B2D77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підігріву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газу;</w:t>
            </w:r>
          </w:p>
          <w:p w14:paraId="75FFEB2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коду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ED46F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3538DAE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31012A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AA8FC6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Безперервний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контроль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внутрішньочеревного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захистом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надлишкового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FE7731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3780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7864F3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1338C4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198E23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2-х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режимів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:</w:t>
            </w:r>
          </w:p>
          <w:p w14:paraId="312A7BA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попередня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голки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Вереша</w:t>
            </w:r>
          </w:p>
          <w:p w14:paraId="45D7315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-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троакара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основна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8D288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59A7C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D81A33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98D2B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D9382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Підігріваючий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елемент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інсуфлятора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автоклавований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B4C49C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8B6F27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4EF365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15F4DD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03A41A4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Шланг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DIN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роз'єм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F5192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6D3C31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1A06FE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04BFA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3898C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вага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інсуфлятора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48AAA2" w14:textId="77777777" w:rsidR="001A7B2F" w:rsidRPr="00C10520" w:rsidRDefault="001A7B2F" w:rsidP="001A7B2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355 х 105 х 255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</w:p>
          <w:p w14:paraId="1DC6DB2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D11F0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F862BB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2F14C94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E139FF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Універсальна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мультифункціональна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аспіраційно-ірригаційна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ar-SA"/>
              </w:rPr>
              <w:t>помпа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1EB695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342BE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D2B4C2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947043D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7A50F4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highlight w:val="yellow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Універсальна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система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управління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рідиною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яка легко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налаштовується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артроскопічних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лапароскопічних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уретероскопічних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гістероскопічних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8094B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D5A51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FCD39F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165EF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463D6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Спеціалізоване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лапароскопії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BAEE5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FB5781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50638F" w14:paraId="1FF31DC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366FC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6A3EF0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Регульований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потоку,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FD78B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Лапароскопія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:  0.1–2.2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  <w:p w14:paraId="6B0DFF1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Артроскопія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: 0.1–2.0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  <w:p w14:paraId="13000F0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Гістероскопія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0,1–0,5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044DCB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Уретроскопія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0.1–1.0 л/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хв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9310A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7B6DE30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CC94057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FB6318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Тиск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аспірації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9705C5" w14:textId="11F31B4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- 480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рт.ст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BC54ED4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07214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1AB260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DE09D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Діапазон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тиску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підтримується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гірше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A2C8B9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Артроскопія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10–150 мм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рт.ст</w:t>
            </w:r>
            <w:proofErr w:type="spellEnd"/>
          </w:p>
          <w:p w14:paraId="09F518A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Гістероскопія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10–200 мм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рт.ст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1AC044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Уретроскопія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10–150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рт.ст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FE3CD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5E0FB0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38FE64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81D27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Розміри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вага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помпи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більше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73DA3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360 х 140 х 360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br/>
              <w:t xml:space="preserve">8,5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C86AE7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B881C5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0C156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19E485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Бездротова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педаль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зарядним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пристроєм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4B153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79D25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EB8A70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B493B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D92D5D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іригаційних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трубок,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автоклавується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521E86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0DD8EB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A91265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CED436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53FFAF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Набір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аспіраційних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 трубок,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автоклавується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8CD92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074C40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E0748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D79DE94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775CCC5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ru-RU"/>
              </w:rPr>
              <w:t>апарат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3E17700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31C1B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92B04D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4E30E9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5B4D0B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призначений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виконання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електрохірургічного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втручання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основі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принцип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діатермії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універсальної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заключається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пропусканні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струму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високої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частоти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B7C62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38F56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7018B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66CF6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D2F8DF1" w14:textId="77777777" w:rsidR="001A7B2F" w:rsidRPr="00C10520" w:rsidRDefault="001A7B2F" w:rsidP="001A7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Генератор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електрохірургічний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високочастотний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465232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E4362F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60A10A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30ED61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виходом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типу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CF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плаваючим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дозволить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операціях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центральній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нервовій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системі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B38524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B9356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C96418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37E1A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CD8107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дозволяти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виконувати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процедури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розсічення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відкритому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оперативному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втручанні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разом з лапароскопом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фіброскопом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працювати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органах,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наповнених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рідинами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7FD894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88BBB8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B873E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B5CE76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6256083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двох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3-контактних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роз’ємів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одного 2-контактного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роз’єму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F4472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595FA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33C041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4224E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E8D90A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Прилад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системою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безперервного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контролю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приєднання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нейтрального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  <w:p w14:paraId="27F3F48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  <w:p w14:paraId="54F86A95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lastRenderedPageBreak/>
              <w:t xml:space="preserve">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недостатньому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приляганні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нейтрального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електрода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вмикатися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звуковий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блимати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лінійний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8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оптичної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сигналізації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1DAEE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lastRenderedPageBreak/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CC509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DBB523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077089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191F900" w14:textId="77777777" w:rsidR="001A7B2F" w:rsidRPr="00C10520" w:rsidRDefault="001A7B2F" w:rsidP="001A7B2F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Основні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режими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роботи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:</w:t>
            </w:r>
          </w:p>
          <w:p w14:paraId="480A54E8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5" w:hanging="285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Чистий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без гемостазу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F68354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6BD1AFD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531E3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4AF9FA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64CE15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E6DA1A5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5" w:hanging="285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DF050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1CD04EA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E65711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432229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08D651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6D35B9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7B2BD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  <w:p w14:paraId="4F19891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1ACFB5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70408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662F1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528265E" w14:textId="77777777" w:rsidR="001A7B2F" w:rsidRPr="00C10520" w:rsidRDefault="001A7B2F" w:rsidP="001A7B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 – з гемостазом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054CEC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08D47A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:rsidRPr="0050638F" w14:paraId="52A54DE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0D6310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22B7E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урологічний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рідкому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середовищі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2F6BA5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400 Вт,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200 Ом,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9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розсічення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E58759F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:rsidRPr="0050638F" w14:paraId="32C75EE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AAB25A3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CF9BF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перемінною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подачею струму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різання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автоматичним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регулюванням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9ED341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400 Вт,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9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рівнів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тканьового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ефекту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1B48D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</w:p>
        </w:tc>
      </w:tr>
      <w:tr w:rsidR="001A7B2F" w14:paraId="166C0D9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5911100" w14:textId="77777777" w:rsidR="001A7B2F" w:rsidRPr="005170B2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val="ru-RU"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945E63F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М’яка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монополярна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99ED009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9FB83E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5FD6F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A526FC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7975D9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монополярна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EF49F1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F490B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DAFEED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EC623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256B08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Спрей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безконтактна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BE1556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1250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145613B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8FD0B1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16BC412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E4D9EF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2D81497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180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69ABAC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364EE5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E9E2E7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5697A4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коагуляція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A84B09D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120 Вт,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50 Ом,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функцією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Автостарт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Автостоп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F78411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FF10D4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21825E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729522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Чистий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D03C7B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8AD004C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4A744F9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D96E99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8CBB8B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Змішаний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03B457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150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опорі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2A365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DBF7F2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B1D804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5D0429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Урологічний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розріз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-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потужність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97B0A4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400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603AE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DCD33B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7E40C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488755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Усі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налаштування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повинні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зберігатись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пам’яті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і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можливість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відновлення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шляхом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вибору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програми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20B4929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602A05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5CC64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446E49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BBD27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Самотестування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приладу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увімкненні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виявленні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дисплеї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повинно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з’являтись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повідомлення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кодом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помилки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685EAC2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A8BF1E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518259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D4752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2A34EB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клас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захисту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електробезпеки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CF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I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23CD78A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3259D80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5BA2E12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A66255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B413A9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бути оснащений системою контролю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– при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апарату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повинен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вмикатись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звуковий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сигнал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світловий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індикатор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перевантаження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632120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3FA7D3A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BDD48D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A563A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ECAB26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Подвійна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ножна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педаль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управління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6EB476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10DDCD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F5C152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340572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65CD827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Нейтральний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багаторазовий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дорослих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DD073D" w14:textId="77777777" w:rsidR="001A7B2F" w:rsidRPr="00C10520" w:rsidRDefault="001A7B2F" w:rsidP="001A7B2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6B9C6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AE83B2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AA53F8D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0840D1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Стійка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обладнання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4F80C5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Наявність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 xml:space="preserve"> 1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FE5AA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6DA527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A31ADB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E1426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4 колеса,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2-ох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гальмами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2BE5BB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BD14895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869630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099C2D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D4B3BC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поворотним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кронштейном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монітора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BFFEFE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4A3BBD3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C9D9E4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E07A63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80035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рухомих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шухляд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80DE4E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813046D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375353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5CD7A4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D9056E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Кількість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полиць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не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EB22EB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B80A71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884391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2885B1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41BA42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Тримачі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камери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не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менше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37620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5D7F2A2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C939CE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8E4A1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4BC68FD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Вбудована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електрична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розетка для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підключення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B145A3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Наявність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D60BE7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008C87FB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5F6E053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B088F8A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Лапароскопічний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інструментарій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2779499" w14:textId="77777777" w:rsidR="001A7B2F" w:rsidRPr="00C10520" w:rsidRDefault="001A7B2F" w:rsidP="001A7B2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621B609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A4945D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809B9B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</w:pP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Лапароскоп 4к 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</w:rPr>
              <w:t>UHD</w:t>
            </w: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, 30°,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 xml:space="preserve"> 330 мм, Ø 10.0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25F6E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</w:pPr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bCs/>
                <w:sz w:val="16"/>
                <w:szCs w:val="16"/>
                <w:lang w:eastAsia="ar-SA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37D1F02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73E1DB1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54C0D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77D9D9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гвинтова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канюля,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вуглецевим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волокном, Ø 5,5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ECFB1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769E0CD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6A0CC3C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9EA0D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28CA39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гвинтова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канюля,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вуглецевим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волокном,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6C584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F8485C6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ACD563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6C0D5F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EDCF83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Силіконовий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змінний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клапан, Ø 5,5 мм (1 уп-5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2B122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64102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09499E7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270EA2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0D384F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Силіконовий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змінний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клапан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11.0 / 12.5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6DA0539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(1 уп-5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AB4991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D629061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1BD78F4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8515B8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302BA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багатофункціональним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Ø 5.5 мм, гладка канюля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707333C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A45338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24911D6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79F5AB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768483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Троакар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багатофункціональним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клапаном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розбірний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Ø 11.0 мм, гладка канюля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6A6699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92DFEB4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</w:tr>
      <w:tr w:rsidR="001A7B2F" w14:paraId="2BF6B14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E22B6D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CE151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Обтуратор,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трикутний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пірамідальний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наконечник, Ø 5.5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10B5D2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C02A16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D6CCA4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1FBC7D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32F1F4F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Обтуратор,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трикутний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пірамідальний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наконечник,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1D0F21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7E52943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811E83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199D97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637AC5A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Відкидний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редуктор, Ø 11.0 до 5.5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0DBCC8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42ADC9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528AAFC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05500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DD020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Ущільнюючий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ковпачок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троакару Ø 5.5 мм (1уп-10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9A39153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0ADB46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F492A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86F4C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68AA8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Ущільнюючий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ковпачок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троакару Ø 11 мм </w:t>
            </w:r>
          </w:p>
          <w:p w14:paraId="236357D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(1уп-10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52D6F3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B0FFC2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6F99729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502853F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CBEA63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FB6E24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0BD0C9C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7F42496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CCF0F3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E875AB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дисекційні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Maryland,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9AFFF1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D8E7D2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281C459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D07577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B2BF0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захоплюючі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Johan,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D56563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43749F0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1F0B80FA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FA7988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B93AD5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Metzenbaum,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бранші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керамічним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покриттям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6CC555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DB1D9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226147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75FBD1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EE676D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Тубус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A693119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08D91F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4C1D5A0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9EAE6C0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bottom"/>
          </w:tcPr>
          <w:p w14:paraId="53A33A5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вуглепластикова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801758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0724D9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6517206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D134CB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727BE5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Посилена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вуглепластикова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універсальною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07C64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44D58B8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1FF99E41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D90083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9986DD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Механізм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швидкого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блокування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дозволяє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збирати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розбирати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інструмент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лічені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секунди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7B9AF3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9828A1E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2AE41B2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38F91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B9645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Зручний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порт на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рукоятці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підключення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HF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-кабелю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під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кутом 45°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4A334B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Відповідність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29EA31B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A7B2F" w14:paraId="0E6B288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F2609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C6F5365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тип шпатель,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Ø 5 мм,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DF36C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F45A8D7" w14:textId="77777777" w:rsidR="001A7B2F" w:rsidRPr="00C10520" w:rsidRDefault="001A7B2F" w:rsidP="001A7B2F">
            <w:pPr>
              <w:widowControl w:val="0"/>
              <w:spacing w:after="0" w:line="240" w:lineRule="auto"/>
              <w:ind w:left="40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</w:p>
        </w:tc>
      </w:tr>
      <w:tr w:rsidR="001A7B2F" w14:paraId="17F1A8CD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FFFB15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F443E8F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Електрод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тип 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L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-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гачок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Ø 5 мм,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820E4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0F8E83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  <w:tr w:rsidR="001A7B2F" w14:paraId="38A2288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CE58F1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AE9421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Біполярні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захоплюючі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Maryland,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75BA1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870C0D3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397FE7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FF9C6F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C53D31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біполярні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6D60AD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C6BEE0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CF7C25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909758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AEF2154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Тубус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біполярних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знімних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330 мм, Ø 5.0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DE401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34DDBD7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81314B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7E83BF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351EFF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Рукоятка для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біполярних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знімних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інструментів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97094A7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F03990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8FAE14F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F0D67AC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04F131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Осьовий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голкотримач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кутова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ручка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бранші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вліво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голкотримач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виготовлений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легких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сплавів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вагою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менше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49D336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DC8BCAC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3EA2679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BA270D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1CF931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Ендоскопічний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кліпаплікатор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кліпс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M-L,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330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, Ø 10.0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34BA3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7C8F84B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08C1A623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D29F89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33F31B8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Кліпси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розмір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M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-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L</w:t>
            </w: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6 шт. в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картриджі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, 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картриджів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коробці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упаковці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(120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A634FB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F5DA3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8A49C0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80F2FA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9A3260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Комплект трубок для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аспірації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>іригації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12F7B683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Ø 5.0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та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Ø 10.0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42187B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5618127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5FDDB577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7E033AE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CF7486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Голка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Verres,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 120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5A21A0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6CC1F69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30704A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7878A8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5D9E690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Монополярний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кабель Ø 4.0 мм, 3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36ED86A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E71138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9B86B6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F4A2FA4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C12909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Біполярний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кабель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 3.0м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F423EAF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6B9823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3930B2E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FC3B09" w14:textId="77777777" w:rsidR="001A7B2F" w:rsidRPr="00B20405" w:rsidRDefault="001A7B2F" w:rsidP="001A7B2F">
            <w:pPr>
              <w:widowControl w:val="0"/>
              <w:numPr>
                <w:ilvl w:val="0"/>
                <w:numId w:val="30"/>
              </w:numPr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1719718" w14:textId="77777777" w:rsidR="001A7B2F" w:rsidRPr="00C10520" w:rsidRDefault="001A7B2F" w:rsidP="001A7B2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Інструментарій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b/>
                <w:sz w:val="16"/>
                <w:szCs w:val="16"/>
              </w:rPr>
              <w:t>торакоскопії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DBE50D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68A80BE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4D387E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97D000E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Гнучкий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троакар з обтуратором,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гвинтовий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70 мм, Ø 11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B78017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35DCE6AE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42BDA914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A79E991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20232EB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Овальні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фенестровані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щипці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легень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Foerster,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бранші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вліво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235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7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9685A01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351C34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4CE9ED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10C2AC7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AD1C4D9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D’Amico DeBakey,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254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кремальєрою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C798748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D47C148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6CAAB7D0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5B00348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7AB9F2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тип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Harken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 xml:space="preserve"> 250 мм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Ø 10 мм,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рукоятка без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  <w:lang w:val="ru-RU"/>
              </w:rPr>
              <w:t>кремальєри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B3C5C1E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5A6D7A0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0DC22B2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C5AAA95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D4F186D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Metzenbaum,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тупі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195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Ø 10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кільцева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E690902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8B4B7E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7708163C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82C05AB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BE24677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Всмоктувальна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трубка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D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'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Amico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прямий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наконечник,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320 мм, Ø 10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12B618CD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EE23494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4DA7ED78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C4A0166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245470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Мікроножиці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вигнуті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спеціалізованою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делікатної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дисекції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найвужчих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грудних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просторах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мінімальним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зусиллям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активації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інструмента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2C810E0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703C2016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1A7B2F" w14:paraId="1E0CC8B5" w14:textId="77777777" w:rsidTr="005170B2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E4DE9A3" w14:textId="77777777" w:rsidR="001A7B2F" w:rsidRPr="00B20405" w:rsidRDefault="001A7B2F" w:rsidP="001A7B2F">
            <w:pPr>
              <w:widowControl w:val="0"/>
              <w:numPr>
                <w:ilvl w:val="1"/>
                <w:numId w:val="30"/>
              </w:numPr>
              <w:tabs>
                <w:tab w:val="left" w:pos="284"/>
              </w:tabs>
              <w:autoSpaceDE w:val="0"/>
              <w:spacing w:after="0" w:line="240" w:lineRule="auto"/>
              <w:ind w:left="414" w:hanging="357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E08F246" w14:textId="77777777" w:rsidR="001A7B2F" w:rsidRPr="00C10520" w:rsidRDefault="001A7B2F" w:rsidP="001A7B2F">
            <w:pPr>
              <w:spacing w:after="0" w:line="240" w:lineRule="auto"/>
              <w:ind w:right="-43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Затискач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тип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DeBakey,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прямий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із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спеціалізованою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рукояткою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для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проведення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делікатної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дисекції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найвужчих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грудних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просторах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з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мінімальним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зусиллям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активації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інструмента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довжина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 xml:space="preserve"> 250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мм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,</w:t>
            </w:r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Ø 5.0 </w:t>
            </w:r>
            <w:proofErr w:type="spellStart"/>
            <w:r w:rsidRPr="00C10520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8433C06" w14:textId="77777777" w:rsidR="001A7B2F" w:rsidRPr="00C10520" w:rsidRDefault="001A7B2F" w:rsidP="001A7B2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C105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56628ECA" w14:textId="77777777" w:rsidR="001A7B2F" w:rsidRPr="00C10520" w:rsidRDefault="001A7B2F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  <w:tr w:rsidR="00E31DF5" w:rsidRPr="0050638F" w14:paraId="6853EEA7" w14:textId="77777777" w:rsidTr="00D15336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CEF1613" w14:textId="77777777" w:rsidR="00E31DF5" w:rsidRDefault="00E31DF5" w:rsidP="00E31DF5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eastAsia="ar-SA"/>
              </w:rPr>
            </w:pPr>
          </w:p>
          <w:p w14:paraId="63FDF738" w14:textId="77777777" w:rsidR="00B80DD1" w:rsidRDefault="00B80DD1" w:rsidP="00B80DD1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65DC796D" w14:textId="6542806A" w:rsidR="00B80DD1" w:rsidRPr="00B80DD1" w:rsidRDefault="00B80DD1" w:rsidP="00B80DD1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11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5463321" w14:textId="7EB2B09C" w:rsidR="00E31DF5" w:rsidRPr="00C10520" w:rsidRDefault="00B80DD1" w:rsidP="00C1052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На підтвердження Учасник повинен надати оригінал 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спрощеної закупівлі,  а також гарантії щодо терміну гарантійного обслуговування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01244ABD" w14:textId="77777777" w:rsidR="00E31DF5" w:rsidRPr="00C10520" w:rsidRDefault="00E31DF5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ru-RU" w:eastAsia="ru-RU"/>
              </w:rPr>
            </w:pPr>
          </w:p>
        </w:tc>
      </w:tr>
      <w:tr w:rsidR="00C3648D" w:rsidRPr="0050638F" w14:paraId="437488F5" w14:textId="77777777" w:rsidTr="00D21710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A942982" w14:textId="77777777" w:rsidR="00C3648D" w:rsidRPr="00B80DD1" w:rsidRDefault="00C3648D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1793B1CF" w14:textId="5592CCB0" w:rsidR="00604254" w:rsidRPr="00604254" w:rsidRDefault="00604254" w:rsidP="00604254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uk-UA" w:eastAsia="ar-SA"/>
              </w:rPr>
              <w:t>2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6234B2F" w14:textId="08A0542B" w:rsidR="00C3648D" w:rsidRPr="00C10520" w:rsidRDefault="00E962D9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Товар, запропонований Учасником, повинен мати сервісну підтримку в Україні.</w:t>
            </w:r>
            <w:r w:rsidR="00604254"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>Учасник повинен надати копії сертифікатів 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6307F5FB" w14:textId="77777777" w:rsidR="00C3648D" w:rsidRPr="00C10520" w:rsidRDefault="00C3648D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uk-UA" w:eastAsia="ru-RU"/>
              </w:rPr>
            </w:pPr>
          </w:p>
        </w:tc>
      </w:tr>
      <w:tr w:rsidR="00C3648D" w:rsidRPr="0050638F" w14:paraId="0A337F3E" w14:textId="77777777" w:rsidTr="00B261D6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D1FAD58" w14:textId="77777777" w:rsidR="00C3648D" w:rsidRDefault="00C3648D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uk-UA" w:eastAsia="ar-SA"/>
              </w:rPr>
            </w:pPr>
          </w:p>
          <w:p w14:paraId="648A0119" w14:textId="11A72EFC" w:rsidR="00604254" w:rsidRPr="00604254" w:rsidRDefault="00604254" w:rsidP="00604254">
            <w:pPr>
              <w:rPr>
                <w:rFonts w:asciiTheme="minorHAnsi" w:hAnsiTheme="minorHAnsi" w:cstheme="minorHAnsi"/>
                <w:lang w:val="uk-UA" w:eastAsia="ar-SA"/>
              </w:rPr>
            </w:pPr>
            <w:r>
              <w:rPr>
                <w:rFonts w:asciiTheme="minorHAnsi" w:hAnsiTheme="minorHAnsi" w:cstheme="minorHAnsi"/>
                <w:lang w:val="uk-UA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uk-UA" w:eastAsia="ar-SA"/>
              </w:rPr>
              <w:t>3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9328CA7" w14:textId="42D341A3" w:rsidR="00C3648D" w:rsidRPr="00C10520" w:rsidRDefault="0047223E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Товар,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запропонований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Учасником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повинен бути внесений до Державного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реєстру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медичної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виробів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медичного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призначення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та/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введений в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обіг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законодавства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сфері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lastRenderedPageBreak/>
              <w:t>регулювання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оцінки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передбаченому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законодавством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порядку.</w:t>
            </w:r>
            <w:r w:rsidR="00C11868"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uk-UA" w:eastAsia="ar-SA"/>
              </w:rPr>
              <w:t xml:space="preserve"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</w:t>
            </w:r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(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застосування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)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медичного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виробу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за результатами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проходження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процедури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оцінки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відповідності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згідно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вимог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технічного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регламенту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або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лист про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надання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вказаних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документів</w:t>
            </w:r>
            <w:proofErr w:type="spellEnd"/>
            <w:r w:rsidRPr="00C10520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на момент поставки.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34ADE01" w14:textId="77777777" w:rsidR="00C3648D" w:rsidRPr="00C10520" w:rsidRDefault="00C3648D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sz w:val="16"/>
                <w:szCs w:val="16"/>
                <w:lang w:val="ru-RU" w:eastAsia="ru-RU"/>
              </w:rPr>
            </w:pPr>
          </w:p>
        </w:tc>
      </w:tr>
      <w:tr w:rsidR="00C11868" w:rsidRPr="0050638F" w14:paraId="01A7C9B7" w14:textId="77777777" w:rsidTr="005445BC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6B9175E" w14:textId="77777777" w:rsidR="00C11868" w:rsidRDefault="00C11868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71CBA18A" w14:textId="13B3A2F6" w:rsidR="00604254" w:rsidRPr="00604254" w:rsidRDefault="00604254" w:rsidP="00604254">
            <w:pPr>
              <w:rPr>
                <w:rFonts w:asciiTheme="minorHAnsi" w:hAnsiTheme="minorHAnsi" w:cstheme="minorHAnsi"/>
                <w:lang w:val="ru-RU" w:eastAsia="ar-SA"/>
              </w:rPr>
            </w:pPr>
            <w:r>
              <w:rPr>
                <w:rFonts w:asciiTheme="minorHAnsi" w:hAnsiTheme="minorHAnsi" w:cstheme="minorHAnsi"/>
                <w:lang w:val="ru-RU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ru-RU" w:eastAsia="ar-SA"/>
              </w:rPr>
              <w:t>4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2F9DFE2" w14:textId="77777777" w:rsidR="00D739C4" w:rsidRDefault="00D739C4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Поставка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його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монтаж,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пусконалагоджувальні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роботи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експлуатацію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мають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бути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завершені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пізніше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15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серпня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2026 року.</w:t>
            </w:r>
          </w:p>
          <w:p w14:paraId="43A916D6" w14:textId="669EF2DE" w:rsidR="00C11868" w:rsidRPr="00C10520" w:rsidRDefault="00D739C4" w:rsidP="00604254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Навчання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персоналу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роботі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обладнанням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входить до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вартості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поставки та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здійснюється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до моменту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введення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обладнання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експлуатацію</w:t>
            </w:r>
            <w:proofErr w:type="spellEnd"/>
            <w:r w:rsidRPr="00BB42A9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48DDD7AC" w14:textId="77777777" w:rsidR="00C11868" w:rsidRPr="00DE60C6" w:rsidRDefault="00C11868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lang w:val="ru-RU" w:eastAsia="ru-RU"/>
              </w:rPr>
            </w:pPr>
          </w:p>
        </w:tc>
      </w:tr>
      <w:tr w:rsidR="00C11868" w:rsidRPr="0050638F" w14:paraId="12C6332A" w14:textId="77777777" w:rsidTr="007238B4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4202DCEB" w14:textId="77777777" w:rsidR="00C11868" w:rsidRDefault="00C11868" w:rsidP="00C011C7">
            <w:pPr>
              <w:widowControl w:val="0"/>
              <w:tabs>
                <w:tab w:val="left" w:pos="284"/>
              </w:tabs>
              <w:autoSpaceDE w:val="0"/>
              <w:spacing w:after="0" w:line="240" w:lineRule="auto"/>
              <w:ind w:left="710"/>
              <w:rPr>
                <w:rFonts w:asciiTheme="minorHAnsi" w:hAnsiTheme="minorHAnsi" w:cstheme="minorHAnsi"/>
                <w:lang w:val="ru-RU" w:eastAsia="ar-SA"/>
              </w:rPr>
            </w:pPr>
          </w:p>
          <w:p w14:paraId="545CE4D7" w14:textId="4C5AF054" w:rsidR="00604254" w:rsidRPr="00604254" w:rsidRDefault="00604254" w:rsidP="00604254">
            <w:pPr>
              <w:rPr>
                <w:rFonts w:asciiTheme="minorHAnsi" w:hAnsiTheme="minorHAnsi" w:cstheme="minorHAnsi"/>
                <w:lang w:val="ru-RU" w:eastAsia="ar-SA"/>
              </w:rPr>
            </w:pPr>
            <w:r>
              <w:rPr>
                <w:rFonts w:asciiTheme="minorHAnsi" w:hAnsiTheme="minorHAnsi" w:cstheme="minorHAnsi"/>
                <w:lang w:val="ru-RU" w:eastAsia="ar-SA"/>
              </w:rPr>
              <w:t>1</w:t>
            </w:r>
            <w:r w:rsidR="00B80DD1">
              <w:rPr>
                <w:rFonts w:asciiTheme="minorHAnsi" w:hAnsiTheme="minorHAnsi" w:cstheme="minorHAnsi"/>
                <w:lang w:val="ru-RU" w:eastAsia="ar-SA"/>
              </w:rPr>
              <w:t>5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9FA2AD7" w14:textId="7D5E6985" w:rsidR="00C11868" w:rsidRPr="00C5725D" w:rsidRDefault="00C11868" w:rsidP="0060425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</w:pPr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Товар,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запропонований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Учасником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, повинен бути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новим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таким,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що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раніше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не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експлуатувався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та не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використовувався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в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якості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демонстраційного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зразка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.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термін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дорівнює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12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місяців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з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дати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поставки за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виключенням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витратних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матеріалів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(на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підтвердження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надається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>гарантійний</w:t>
            </w:r>
            <w:proofErr w:type="spellEnd"/>
            <w:r w:rsidRPr="00C5725D">
              <w:rPr>
                <w:rFonts w:asciiTheme="minorHAnsi" w:hAnsiTheme="minorHAnsi" w:cstheme="minorHAnsi"/>
                <w:sz w:val="16"/>
                <w:szCs w:val="16"/>
                <w:lang w:val="ru-RU" w:eastAsia="ar-SA"/>
              </w:rPr>
              <w:t xml:space="preserve"> лист).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  <w:vAlign w:val="center"/>
          </w:tcPr>
          <w:p w14:paraId="2D4A3454" w14:textId="77777777" w:rsidR="00C11868" w:rsidRPr="00DE60C6" w:rsidRDefault="00C11868" w:rsidP="001A7B2F">
            <w:pPr>
              <w:shd w:val="clear" w:color="auto" w:fill="FFFFFF" w:themeFill="background1"/>
              <w:spacing w:after="0" w:line="240" w:lineRule="auto"/>
              <w:ind w:left="40" w:right="-106"/>
              <w:rPr>
                <w:rFonts w:asciiTheme="minorHAnsi" w:hAnsiTheme="minorHAnsi" w:cstheme="minorHAnsi"/>
                <w:bCs/>
                <w:lang w:val="ru-RU" w:eastAsia="ru-RU"/>
              </w:rPr>
            </w:pPr>
          </w:p>
        </w:tc>
      </w:tr>
    </w:tbl>
    <w:p w14:paraId="0C31FE4A" w14:textId="77777777" w:rsidR="00D739C4" w:rsidRDefault="00D739C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A7E3433" w14:textId="77777777" w:rsidR="00D739C4" w:rsidRDefault="00D739C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C472122" w14:textId="74F51D9E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10AF7150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F48E792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6A14368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D46D09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D28392B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9B35A26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A8365C1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1EFD4AC6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112E24F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78A37E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574081FE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A8D7C72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DD83BD1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8DFF418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8D7A21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ECE0B3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36227C7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0397ABD3" w14:textId="77777777" w:rsidR="00CE2886" w:rsidRDefault="00CE2886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B19164E" w14:textId="77777777" w:rsidR="00CE2886" w:rsidRDefault="00CE2886" w:rsidP="00675CE5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8F977FA" w14:textId="77777777" w:rsidR="00675CE5" w:rsidRDefault="00675CE5" w:rsidP="00675CE5">
      <w:pPr>
        <w:spacing w:after="160" w:line="276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3BDF3F51" w14:textId="594B5C19" w:rsidR="00570262" w:rsidRPr="00091104" w:rsidRDefault="004D7F02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537DD564" w14:textId="3EAA44EF" w:rsidR="00DF233D" w:rsidRPr="00091104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uk-UA"/>
        </w:rPr>
        <w:t>ЗЦП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ru-RU"/>
        </w:rPr>
        <w:t xml:space="preserve"> </w:t>
      </w:r>
      <w:r w:rsidRPr="00091104">
        <w:rPr>
          <w:rFonts w:asciiTheme="minorHAnsi" w:hAnsiTheme="minorHAnsi" w:cstheme="minorHAnsi"/>
          <w:color w:val="C00000"/>
          <w:sz w:val="20"/>
          <w:szCs w:val="20"/>
          <w:lang w:val="ru-RU"/>
        </w:rPr>
        <w:t xml:space="preserve"># </w:t>
      </w:r>
      <w:r w:rsidR="0050638F" w:rsidRPr="0050638F">
        <w:rPr>
          <w:rFonts w:asciiTheme="minorHAnsi" w:hAnsiTheme="minorHAnsi" w:cstheme="minorHAnsi"/>
          <w:color w:val="C00000"/>
          <w:sz w:val="20"/>
          <w:szCs w:val="20"/>
        </w:rPr>
        <w:t>2026-062</w:t>
      </w:r>
    </w:p>
    <w:p w14:paraId="32051EE4" w14:textId="77777777" w:rsidR="00DF233D" w:rsidRPr="00091104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9C271F5" w14:textId="2120C53B" w:rsidR="00570262" w:rsidRPr="00091104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091104" w14:paraId="03058321" w14:textId="77777777" w:rsidTr="006623FC">
        <w:tc>
          <w:tcPr>
            <w:tcW w:w="531" w:type="dxa"/>
          </w:tcPr>
          <w:p w14:paraId="639AB6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1522EDA" w14:textId="22616E6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4CCC644" w14:textId="77777777" w:rsidTr="006623FC">
        <w:tc>
          <w:tcPr>
            <w:tcW w:w="531" w:type="dxa"/>
          </w:tcPr>
          <w:p w14:paraId="05842DB5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ADA2C62" w14:textId="1F262681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E442C" w14:paraId="79820843" w14:textId="77777777" w:rsidTr="006623FC">
        <w:tc>
          <w:tcPr>
            <w:tcW w:w="531" w:type="dxa"/>
          </w:tcPr>
          <w:p w14:paraId="5EDEEC6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3B46DD3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0E442C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0E442C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2F54D4EF" w14:textId="77777777" w:rsidTr="006623FC">
        <w:tc>
          <w:tcPr>
            <w:tcW w:w="531" w:type="dxa"/>
          </w:tcPr>
          <w:p w14:paraId="0C83F099" w14:textId="77777777" w:rsidR="004D7F02" w:rsidRPr="000E442C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3CB1D39B" w14:textId="0022CFAA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50638F" w14:paraId="7C9927F5" w14:textId="77777777" w:rsidTr="006623FC">
        <w:tc>
          <w:tcPr>
            <w:tcW w:w="531" w:type="dxa"/>
          </w:tcPr>
          <w:p w14:paraId="6479AFC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B599F7E" w14:textId="641F9492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proofErr w:type="spellStart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проекту</w:t>
            </w:r>
            <w:proofErr w:type="spellEnd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091104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7649ECFA" w14:textId="77777777" w:rsidTr="006623FC">
        <w:tc>
          <w:tcPr>
            <w:tcW w:w="531" w:type="dxa"/>
          </w:tcPr>
          <w:p w14:paraId="1A9EEC06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5DD16C22" w14:textId="77940E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7F2E378D" w14:textId="269CA019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7CFBE152" w14:textId="77777777" w:rsidTr="006623FC">
        <w:tc>
          <w:tcPr>
            <w:tcW w:w="531" w:type="dxa"/>
          </w:tcPr>
          <w:p w14:paraId="57EF70DC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17C98237" w14:textId="3948AE4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454778FF" w14:textId="77777777" w:rsidTr="006623FC">
        <w:tc>
          <w:tcPr>
            <w:tcW w:w="531" w:type="dxa"/>
          </w:tcPr>
          <w:p w14:paraId="65FFFDA0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8B1C043" w14:textId="4AEE9D7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369B332A" w14:textId="77777777" w:rsidTr="006623FC">
        <w:tc>
          <w:tcPr>
            <w:tcW w:w="531" w:type="dxa"/>
          </w:tcPr>
          <w:p w14:paraId="61F9AD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27BF996" w14:textId="228E9D7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50638F" w14:paraId="44666D49" w14:textId="77777777" w:rsidTr="006623FC">
        <w:tc>
          <w:tcPr>
            <w:tcW w:w="531" w:type="dxa"/>
          </w:tcPr>
          <w:p w14:paraId="7B069F4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81982DE" w14:textId="78BF5FD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87B6BE7" w14:textId="77777777" w:rsidR="00570262" w:rsidRPr="00091104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14:paraId="21E7435A" w14:textId="77777777" w:rsidR="00570262" w:rsidRPr="00091104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00FA3A5" w14:textId="50D7260C" w:rsidR="00570262" w:rsidRPr="00091104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Інша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додаткова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інформація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>____________________________________________________</w:t>
      </w:r>
    </w:p>
    <w:p w14:paraId="727E60A4" w14:textId="77777777" w:rsidR="00570262" w:rsidRPr="00091104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73D5D8B6" w14:textId="28508527" w:rsidR="00570262" w:rsidRPr="00091104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16A04C83" w14:textId="60FEBE7D" w:rsidR="00570262" w:rsidRPr="00091104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208FE1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62925105" w14:textId="77777777" w:rsidR="006F6118" w:rsidRPr="00091104" w:rsidRDefault="006F6118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1BA3949D" w14:textId="77777777" w:rsidR="00C80221" w:rsidRDefault="00C80221" w:rsidP="00DF233D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p w14:paraId="496F85E9" w14:textId="1642CC48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3</w:t>
      </w:r>
    </w:p>
    <w:p w14:paraId="567104D9" w14:textId="20AB66E9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>ЗЦП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ru-RU"/>
        </w:rPr>
        <w:t xml:space="preserve">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# </w:t>
      </w:r>
      <w:r w:rsidR="0050638F" w:rsidRPr="0050638F">
        <w:rPr>
          <w:rFonts w:asciiTheme="minorHAnsi" w:hAnsiTheme="minorHAnsi" w:cstheme="minorHAnsi"/>
          <w:b/>
          <w:bCs/>
          <w:color w:val="C00000"/>
          <w:sz w:val="20"/>
          <w:szCs w:val="20"/>
        </w:rPr>
        <w:t>2026-062</w:t>
      </w:r>
    </w:p>
    <w:p w14:paraId="0759F71F" w14:textId="1A642CDF" w:rsidR="002A3125" w:rsidRPr="002A3125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0A111241" w14:textId="28EF41F9" w:rsidR="00BD7743" w:rsidRPr="00091104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1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2677"/>
        <w:gridCol w:w="2711"/>
        <w:gridCol w:w="1132"/>
        <w:gridCol w:w="1080"/>
        <w:gridCol w:w="1655"/>
      </w:tblGrid>
      <w:tr w:rsidR="00BD7743" w:rsidRPr="0050638F" w14:paraId="1E95A935" w14:textId="77777777" w:rsidTr="002A3125">
        <w:tc>
          <w:tcPr>
            <w:tcW w:w="250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3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5A5E8594" w:rsidR="00BD7743" w:rsidRPr="00E005EC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Складова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br/>
              <w:t>[</w:t>
            </w:r>
            <w:r w:rsidR="006F66D9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Ендоскопічна стійка</w:t>
            </w:r>
            <w:r w:rsidRPr="00E005EC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]</w:t>
            </w:r>
          </w:p>
        </w:tc>
        <w:tc>
          <w:tcPr>
            <w:tcW w:w="13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Опис складової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Дата доставки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Вартість одиниці 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без ПДВ</w:t>
            </w:r>
            <w:r w:rsid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  <w:tc>
          <w:tcPr>
            <w:tcW w:w="967" w:type="pct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1866CD04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без ПДВ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</w:tr>
      <w:tr w:rsidR="00BD7743" w:rsidRPr="0050638F" w14:paraId="0B4B2617" w14:textId="77777777" w:rsidTr="002A3125">
        <w:tc>
          <w:tcPr>
            <w:tcW w:w="250" w:type="pct"/>
          </w:tcPr>
          <w:p w14:paraId="6E891AB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CD39F4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D9124F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4443822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CE4E00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2372EF1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50638F" w14:paraId="78A2B952" w14:textId="77777777" w:rsidTr="002A3125">
        <w:tc>
          <w:tcPr>
            <w:tcW w:w="250" w:type="pct"/>
          </w:tcPr>
          <w:p w14:paraId="5D0106F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0B74031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CA6BA3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23434A7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78C99C2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7F3A23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50638F" w14:paraId="6D0BCB5F" w14:textId="77777777" w:rsidTr="002A3125">
        <w:tc>
          <w:tcPr>
            <w:tcW w:w="250" w:type="pct"/>
          </w:tcPr>
          <w:p w14:paraId="15AC787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496933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F99CBD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7A2CE4E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756FD0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6313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50638F" w14:paraId="35E24F4C" w14:textId="77777777" w:rsidTr="002A3125">
        <w:tc>
          <w:tcPr>
            <w:tcW w:w="250" w:type="pct"/>
          </w:tcPr>
          <w:p w14:paraId="7885F00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4556016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0F80A39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550F884E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ECECA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EC39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50638F" w14:paraId="04079B5D" w14:textId="77777777" w:rsidTr="002A3125">
        <w:tc>
          <w:tcPr>
            <w:tcW w:w="250" w:type="pct"/>
          </w:tcPr>
          <w:p w14:paraId="4608EF79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FD7DF2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797DD9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181CB33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013F1D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38327D8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50638F" w14:paraId="5FE33DDC" w14:textId="77777777" w:rsidTr="002A3125">
        <w:tc>
          <w:tcPr>
            <w:tcW w:w="250" w:type="pct"/>
          </w:tcPr>
          <w:p w14:paraId="32DFEC0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36F30B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BADE58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094C4E15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5C38D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FFD9FA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1104" w14:paraId="2B935ED7" w14:textId="77777777" w:rsidTr="002A3125">
        <w:tc>
          <w:tcPr>
            <w:tcW w:w="4033" w:type="pct"/>
            <w:gridSpan w:val="5"/>
          </w:tcPr>
          <w:p w14:paraId="2BC8F97D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</w:t>
            </w: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[US$]</w:t>
            </w:r>
          </w:p>
        </w:tc>
        <w:tc>
          <w:tcPr>
            <w:tcW w:w="967" w:type="pct"/>
          </w:tcPr>
          <w:p w14:paraId="5817FEB6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36FD5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091104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02DD7D98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091104" w:rsidSect="001D1844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4269" w14:textId="77777777" w:rsidR="00B010CF" w:rsidRPr="00596001" w:rsidRDefault="00B010CF" w:rsidP="00596001">
      <w:pPr>
        <w:pStyle w:val="Footer"/>
      </w:pPr>
    </w:p>
  </w:endnote>
  <w:endnote w:type="continuationSeparator" w:id="0">
    <w:p w14:paraId="298AF303" w14:textId="77777777" w:rsidR="00B010CF" w:rsidRDefault="00B010CF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FEAF" w14:textId="77777777" w:rsidR="00B010CF" w:rsidRDefault="00B010CF" w:rsidP="00601D36">
      <w:pPr>
        <w:spacing w:after="0" w:line="240" w:lineRule="auto"/>
      </w:pPr>
      <w:r>
        <w:separator/>
      </w:r>
    </w:p>
  </w:footnote>
  <w:footnote w:type="continuationSeparator" w:id="0">
    <w:p w14:paraId="399D6016" w14:textId="77777777" w:rsidR="00B010CF" w:rsidRDefault="00B010CF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54A"/>
    <w:multiLevelType w:val="multilevel"/>
    <w:tmpl w:val="01A6654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0BB"/>
    <w:multiLevelType w:val="multilevel"/>
    <w:tmpl w:val="0C9C60B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E21E5"/>
    <w:multiLevelType w:val="multilevel"/>
    <w:tmpl w:val="51BE21E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96460"/>
    <w:multiLevelType w:val="multilevel"/>
    <w:tmpl w:val="54296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14"/>
  </w:num>
  <w:num w:numId="2" w16cid:durableId="125202496">
    <w:abstractNumId w:val="23"/>
  </w:num>
  <w:num w:numId="3" w16cid:durableId="1243952701">
    <w:abstractNumId w:val="24"/>
  </w:num>
  <w:num w:numId="4" w16cid:durableId="1986155566">
    <w:abstractNumId w:val="25"/>
  </w:num>
  <w:num w:numId="5" w16cid:durableId="972908237">
    <w:abstractNumId w:val="6"/>
  </w:num>
  <w:num w:numId="6" w16cid:durableId="956914709">
    <w:abstractNumId w:val="28"/>
  </w:num>
  <w:num w:numId="7" w16cid:durableId="1536380673">
    <w:abstractNumId w:val="7"/>
  </w:num>
  <w:num w:numId="8" w16cid:durableId="1482695660">
    <w:abstractNumId w:val="11"/>
  </w:num>
  <w:num w:numId="9" w16cid:durableId="14430581">
    <w:abstractNumId w:val="22"/>
  </w:num>
  <w:num w:numId="10" w16cid:durableId="600453101">
    <w:abstractNumId w:val="15"/>
  </w:num>
  <w:num w:numId="11" w16cid:durableId="948972385">
    <w:abstractNumId w:val="30"/>
  </w:num>
  <w:num w:numId="12" w16cid:durableId="1400902343">
    <w:abstractNumId w:val="10"/>
  </w:num>
  <w:num w:numId="13" w16cid:durableId="94831068">
    <w:abstractNumId w:val="26"/>
  </w:num>
  <w:num w:numId="14" w16cid:durableId="1298603773">
    <w:abstractNumId w:val="29"/>
  </w:num>
  <w:num w:numId="15" w16cid:durableId="1804275169">
    <w:abstractNumId w:val="18"/>
  </w:num>
  <w:num w:numId="16" w16cid:durableId="1335573473">
    <w:abstractNumId w:val="4"/>
  </w:num>
  <w:num w:numId="17" w16cid:durableId="1702900901">
    <w:abstractNumId w:val="1"/>
  </w:num>
  <w:num w:numId="18" w16cid:durableId="1224636999">
    <w:abstractNumId w:val="16"/>
  </w:num>
  <w:num w:numId="19" w16cid:durableId="1205025274">
    <w:abstractNumId w:val="12"/>
  </w:num>
  <w:num w:numId="20" w16cid:durableId="1724525053">
    <w:abstractNumId w:val="19"/>
  </w:num>
  <w:num w:numId="21" w16cid:durableId="1805538670">
    <w:abstractNumId w:val="13"/>
  </w:num>
  <w:num w:numId="22" w16cid:durableId="629747562">
    <w:abstractNumId w:val="17"/>
  </w:num>
  <w:num w:numId="23" w16cid:durableId="413627857">
    <w:abstractNumId w:val="9"/>
  </w:num>
  <w:num w:numId="24" w16cid:durableId="561059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27"/>
  </w:num>
  <w:num w:numId="26" w16cid:durableId="591822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5"/>
  </w:num>
  <w:num w:numId="28" w16cid:durableId="1676687662">
    <w:abstractNumId w:val="21"/>
  </w:num>
  <w:num w:numId="29" w16cid:durableId="1334140209">
    <w:abstractNumId w:val="20"/>
  </w:num>
  <w:num w:numId="30" w16cid:durableId="1977491083">
    <w:abstractNumId w:val="0"/>
  </w:num>
  <w:num w:numId="31" w16cid:durableId="68675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971"/>
    <w:rsid w:val="00013EA5"/>
    <w:rsid w:val="000152AC"/>
    <w:rsid w:val="000176EE"/>
    <w:rsid w:val="00022FAE"/>
    <w:rsid w:val="00025208"/>
    <w:rsid w:val="00026E5C"/>
    <w:rsid w:val="000455BF"/>
    <w:rsid w:val="0005127C"/>
    <w:rsid w:val="00056D58"/>
    <w:rsid w:val="00062C19"/>
    <w:rsid w:val="000634D9"/>
    <w:rsid w:val="0006580B"/>
    <w:rsid w:val="00065861"/>
    <w:rsid w:val="000678BC"/>
    <w:rsid w:val="00071CD6"/>
    <w:rsid w:val="00073C79"/>
    <w:rsid w:val="000766CD"/>
    <w:rsid w:val="00087C93"/>
    <w:rsid w:val="00091104"/>
    <w:rsid w:val="0009258A"/>
    <w:rsid w:val="0009421B"/>
    <w:rsid w:val="00097318"/>
    <w:rsid w:val="000A41BF"/>
    <w:rsid w:val="000A7555"/>
    <w:rsid w:val="000A7C9A"/>
    <w:rsid w:val="000B13DF"/>
    <w:rsid w:val="000B383E"/>
    <w:rsid w:val="000C2B22"/>
    <w:rsid w:val="000E0B38"/>
    <w:rsid w:val="000E1E29"/>
    <w:rsid w:val="000E442C"/>
    <w:rsid w:val="000E71D7"/>
    <w:rsid w:val="000F124E"/>
    <w:rsid w:val="000F6E6C"/>
    <w:rsid w:val="0010075F"/>
    <w:rsid w:val="001122EB"/>
    <w:rsid w:val="0011563A"/>
    <w:rsid w:val="00117524"/>
    <w:rsid w:val="00117594"/>
    <w:rsid w:val="00124689"/>
    <w:rsid w:val="001251A7"/>
    <w:rsid w:val="00142629"/>
    <w:rsid w:val="00143F80"/>
    <w:rsid w:val="00147B28"/>
    <w:rsid w:val="0015157A"/>
    <w:rsid w:val="0015448C"/>
    <w:rsid w:val="00160F89"/>
    <w:rsid w:val="00162EF9"/>
    <w:rsid w:val="0016708C"/>
    <w:rsid w:val="00170094"/>
    <w:rsid w:val="001857AF"/>
    <w:rsid w:val="00185AA3"/>
    <w:rsid w:val="00193BF6"/>
    <w:rsid w:val="0019590A"/>
    <w:rsid w:val="00195A4C"/>
    <w:rsid w:val="001A3ABE"/>
    <w:rsid w:val="001A7B2F"/>
    <w:rsid w:val="001B2EEC"/>
    <w:rsid w:val="001B434E"/>
    <w:rsid w:val="001C16DE"/>
    <w:rsid w:val="001D1844"/>
    <w:rsid w:val="001D2A25"/>
    <w:rsid w:val="001D349E"/>
    <w:rsid w:val="001D358E"/>
    <w:rsid w:val="001D47F8"/>
    <w:rsid w:val="001D7491"/>
    <w:rsid w:val="001E5E10"/>
    <w:rsid w:val="001E70DB"/>
    <w:rsid w:val="001F3125"/>
    <w:rsid w:val="001F53D6"/>
    <w:rsid w:val="001F67CF"/>
    <w:rsid w:val="00200E5F"/>
    <w:rsid w:val="00203A4A"/>
    <w:rsid w:val="0021123B"/>
    <w:rsid w:val="00212329"/>
    <w:rsid w:val="00213992"/>
    <w:rsid w:val="0022262B"/>
    <w:rsid w:val="00243442"/>
    <w:rsid w:val="002464C8"/>
    <w:rsid w:val="00246A1D"/>
    <w:rsid w:val="00251BC4"/>
    <w:rsid w:val="00276C1B"/>
    <w:rsid w:val="0028121A"/>
    <w:rsid w:val="0028263B"/>
    <w:rsid w:val="00282CCD"/>
    <w:rsid w:val="002869D0"/>
    <w:rsid w:val="0029063B"/>
    <w:rsid w:val="00292D1A"/>
    <w:rsid w:val="00293E95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C6266"/>
    <w:rsid w:val="002D0D74"/>
    <w:rsid w:val="002D360B"/>
    <w:rsid w:val="002E1B14"/>
    <w:rsid w:val="002E5A8E"/>
    <w:rsid w:val="002E7385"/>
    <w:rsid w:val="002F01D4"/>
    <w:rsid w:val="002F2FC5"/>
    <w:rsid w:val="00300A8E"/>
    <w:rsid w:val="00301F0C"/>
    <w:rsid w:val="0030221F"/>
    <w:rsid w:val="00321C0B"/>
    <w:rsid w:val="00330A85"/>
    <w:rsid w:val="00330CF3"/>
    <w:rsid w:val="00335851"/>
    <w:rsid w:val="0033701F"/>
    <w:rsid w:val="00341985"/>
    <w:rsid w:val="003431F2"/>
    <w:rsid w:val="0036154A"/>
    <w:rsid w:val="00366165"/>
    <w:rsid w:val="00371E6D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4FCF"/>
    <w:rsid w:val="003A77C8"/>
    <w:rsid w:val="003B0C46"/>
    <w:rsid w:val="003B4ADB"/>
    <w:rsid w:val="003B5634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694A"/>
    <w:rsid w:val="004110B0"/>
    <w:rsid w:val="00412ABD"/>
    <w:rsid w:val="004153FD"/>
    <w:rsid w:val="00416C3E"/>
    <w:rsid w:val="00422BA9"/>
    <w:rsid w:val="00423D95"/>
    <w:rsid w:val="00427F1E"/>
    <w:rsid w:val="00431494"/>
    <w:rsid w:val="00433ACA"/>
    <w:rsid w:val="00436D4E"/>
    <w:rsid w:val="004447C3"/>
    <w:rsid w:val="0044716C"/>
    <w:rsid w:val="00455564"/>
    <w:rsid w:val="00455ADA"/>
    <w:rsid w:val="00457C79"/>
    <w:rsid w:val="00460B2C"/>
    <w:rsid w:val="0047223E"/>
    <w:rsid w:val="0047511C"/>
    <w:rsid w:val="004762C0"/>
    <w:rsid w:val="004769CB"/>
    <w:rsid w:val="004935C4"/>
    <w:rsid w:val="0049540E"/>
    <w:rsid w:val="00495E9E"/>
    <w:rsid w:val="004A2953"/>
    <w:rsid w:val="004A5F9C"/>
    <w:rsid w:val="004B59CD"/>
    <w:rsid w:val="004B6050"/>
    <w:rsid w:val="004C36D1"/>
    <w:rsid w:val="004D0DD9"/>
    <w:rsid w:val="004D14DB"/>
    <w:rsid w:val="004D199C"/>
    <w:rsid w:val="004D30BA"/>
    <w:rsid w:val="004D5F5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0638F"/>
    <w:rsid w:val="005170B2"/>
    <w:rsid w:val="00525972"/>
    <w:rsid w:val="005331B7"/>
    <w:rsid w:val="00542372"/>
    <w:rsid w:val="00550CD6"/>
    <w:rsid w:val="00551BED"/>
    <w:rsid w:val="005540DD"/>
    <w:rsid w:val="005542B5"/>
    <w:rsid w:val="00557551"/>
    <w:rsid w:val="00570262"/>
    <w:rsid w:val="0058089E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C038E"/>
    <w:rsid w:val="005C0C4A"/>
    <w:rsid w:val="005C4050"/>
    <w:rsid w:val="005C4E0F"/>
    <w:rsid w:val="005C709D"/>
    <w:rsid w:val="005D1D67"/>
    <w:rsid w:val="005D5307"/>
    <w:rsid w:val="005D79F5"/>
    <w:rsid w:val="005E30F5"/>
    <w:rsid w:val="005E7129"/>
    <w:rsid w:val="0060084C"/>
    <w:rsid w:val="00601204"/>
    <w:rsid w:val="006015CD"/>
    <w:rsid w:val="00601D36"/>
    <w:rsid w:val="00602CFA"/>
    <w:rsid w:val="0060368B"/>
    <w:rsid w:val="00604254"/>
    <w:rsid w:val="0060650E"/>
    <w:rsid w:val="00611F75"/>
    <w:rsid w:val="00615EFE"/>
    <w:rsid w:val="0062413A"/>
    <w:rsid w:val="00627697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5EDF"/>
    <w:rsid w:val="006623FC"/>
    <w:rsid w:val="006643E9"/>
    <w:rsid w:val="00665CA7"/>
    <w:rsid w:val="00673EC4"/>
    <w:rsid w:val="0067437A"/>
    <w:rsid w:val="00675CE5"/>
    <w:rsid w:val="00677D7D"/>
    <w:rsid w:val="006853D7"/>
    <w:rsid w:val="0068756F"/>
    <w:rsid w:val="00690DF7"/>
    <w:rsid w:val="00691D73"/>
    <w:rsid w:val="006936DE"/>
    <w:rsid w:val="006936EC"/>
    <w:rsid w:val="006B0EC4"/>
    <w:rsid w:val="006B688A"/>
    <w:rsid w:val="006B71D0"/>
    <w:rsid w:val="006B7583"/>
    <w:rsid w:val="006C0D89"/>
    <w:rsid w:val="006C3043"/>
    <w:rsid w:val="006C73CC"/>
    <w:rsid w:val="006D1741"/>
    <w:rsid w:val="006D1BD5"/>
    <w:rsid w:val="006F1F62"/>
    <w:rsid w:val="006F35D9"/>
    <w:rsid w:val="006F6118"/>
    <w:rsid w:val="006F66D9"/>
    <w:rsid w:val="00700862"/>
    <w:rsid w:val="0070143B"/>
    <w:rsid w:val="00701BA0"/>
    <w:rsid w:val="00701ED2"/>
    <w:rsid w:val="007021C7"/>
    <w:rsid w:val="007148FF"/>
    <w:rsid w:val="007209AB"/>
    <w:rsid w:val="0073193A"/>
    <w:rsid w:val="0073228D"/>
    <w:rsid w:val="00733AEC"/>
    <w:rsid w:val="00734ADD"/>
    <w:rsid w:val="0073680E"/>
    <w:rsid w:val="00746E39"/>
    <w:rsid w:val="00752902"/>
    <w:rsid w:val="00761B86"/>
    <w:rsid w:val="00782E4F"/>
    <w:rsid w:val="0078346D"/>
    <w:rsid w:val="0078570A"/>
    <w:rsid w:val="00791685"/>
    <w:rsid w:val="007974CB"/>
    <w:rsid w:val="007A188F"/>
    <w:rsid w:val="007A2570"/>
    <w:rsid w:val="007A4003"/>
    <w:rsid w:val="007A4C25"/>
    <w:rsid w:val="007B1495"/>
    <w:rsid w:val="007C01A9"/>
    <w:rsid w:val="007C48DC"/>
    <w:rsid w:val="007C72C5"/>
    <w:rsid w:val="007D215F"/>
    <w:rsid w:val="007D48BF"/>
    <w:rsid w:val="007D53C7"/>
    <w:rsid w:val="007D66F2"/>
    <w:rsid w:val="007E518C"/>
    <w:rsid w:val="007E673F"/>
    <w:rsid w:val="007F0185"/>
    <w:rsid w:val="007F5CF8"/>
    <w:rsid w:val="00803069"/>
    <w:rsid w:val="00804C3B"/>
    <w:rsid w:val="00812A18"/>
    <w:rsid w:val="00812FD1"/>
    <w:rsid w:val="00816134"/>
    <w:rsid w:val="008259AB"/>
    <w:rsid w:val="00826A43"/>
    <w:rsid w:val="00826C2F"/>
    <w:rsid w:val="00830352"/>
    <w:rsid w:val="00831E68"/>
    <w:rsid w:val="008343DB"/>
    <w:rsid w:val="0083559B"/>
    <w:rsid w:val="00842B6C"/>
    <w:rsid w:val="00860512"/>
    <w:rsid w:val="00861091"/>
    <w:rsid w:val="0086151D"/>
    <w:rsid w:val="00861975"/>
    <w:rsid w:val="00864F6E"/>
    <w:rsid w:val="008703C9"/>
    <w:rsid w:val="00872648"/>
    <w:rsid w:val="00891A54"/>
    <w:rsid w:val="00895168"/>
    <w:rsid w:val="00897981"/>
    <w:rsid w:val="008A551A"/>
    <w:rsid w:val="008B5286"/>
    <w:rsid w:val="008B6526"/>
    <w:rsid w:val="008C5A21"/>
    <w:rsid w:val="008C62E2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233ED"/>
    <w:rsid w:val="00937C36"/>
    <w:rsid w:val="00940C63"/>
    <w:rsid w:val="00945136"/>
    <w:rsid w:val="009453D9"/>
    <w:rsid w:val="00947C09"/>
    <w:rsid w:val="009559D4"/>
    <w:rsid w:val="00962546"/>
    <w:rsid w:val="0096542C"/>
    <w:rsid w:val="009654D5"/>
    <w:rsid w:val="0096595B"/>
    <w:rsid w:val="00972221"/>
    <w:rsid w:val="0097708D"/>
    <w:rsid w:val="009845D3"/>
    <w:rsid w:val="00984ACF"/>
    <w:rsid w:val="009962A5"/>
    <w:rsid w:val="009B3CC6"/>
    <w:rsid w:val="009B3E30"/>
    <w:rsid w:val="009C082E"/>
    <w:rsid w:val="009C41EA"/>
    <w:rsid w:val="009C6315"/>
    <w:rsid w:val="009D1143"/>
    <w:rsid w:val="009D1F2F"/>
    <w:rsid w:val="009E1227"/>
    <w:rsid w:val="009E405F"/>
    <w:rsid w:val="009F5860"/>
    <w:rsid w:val="00A03D0B"/>
    <w:rsid w:val="00A07B5E"/>
    <w:rsid w:val="00A11A37"/>
    <w:rsid w:val="00A1554E"/>
    <w:rsid w:val="00A17408"/>
    <w:rsid w:val="00A202E9"/>
    <w:rsid w:val="00A2494A"/>
    <w:rsid w:val="00A50D26"/>
    <w:rsid w:val="00A51663"/>
    <w:rsid w:val="00A5282A"/>
    <w:rsid w:val="00A56648"/>
    <w:rsid w:val="00A60003"/>
    <w:rsid w:val="00A62B47"/>
    <w:rsid w:val="00A64F91"/>
    <w:rsid w:val="00A757FF"/>
    <w:rsid w:val="00A763CB"/>
    <w:rsid w:val="00A775D8"/>
    <w:rsid w:val="00A85578"/>
    <w:rsid w:val="00A90D0D"/>
    <w:rsid w:val="00A9358E"/>
    <w:rsid w:val="00A95D66"/>
    <w:rsid w:val="00A97583"/>
    <w:rsid w:val="00AA376B"/>
    <w:rsid w:val="00AB04C9"/>
    <w:rsid w:val="00AB08C3"/>
    <w:rsid w:val="00AC0905"/>
    <w:rsid w:val="00AC2627"/>
    <w:rsid w:val="00AC3F27"/>
    <w:rsid w:val="00AE0176"/>
    <w:rsid w:val="00AE2114"/>
    <w:rsid w:val="00AF38EB"/>
    <w:rsid w:val="00B010CF"/>
    <w:rsid w:val="00B021C9"/>
    <w:rsid w:val="00B034CA"/>
    <w:rsid w:val="00B07FB0"/>
    <w:rsid w:val="00B11596"/>
    <w:rsid w:val="00B174F8"/>
    <w:rsid w:val="00B20405"/>
    <w:rsid w:val="00B25519"/>
    <w:rsid w:val="00B25CC4"/>
    <w:rsid w:val="00B271FD"/>
    <w:rsid w:val="00B34744"/>
    <w:rsid w:val="00B441E8"/>
    <w:rsid w:val="00B44499"/>
    <w:rsid w:val="00B50006"/>
    <w:rsid w:val="00B50B18"/>
    <w:rsid w:val="00B61DA7"/>
    <w:rsid w:val="00B61DF7"/>
    <w:rsid w:val="00B66ADE"/>
    <w:rsid w:val="00B707F2"/>
    <w:rsid w:val="00B77124"/>
    <w:rsid w:val="00B77712"/>
    <w:rsid w:val="00B80DD1"/>
    <w:rsid w:val="00B81033"/>
    <w:rsid w:val="00B83933"/>
    <w:rsid w:val="00B91FBD"/>
    <w:rsid w:val="00B9508C"/>
    <w:rsid w:val="00B96E87"/>
    <w:rsid w:val="00BA2EC0"/>
    <w:rsid w:val="00BA62BA"/>
    <w:rsid w:val="00BB42A9"/>
    <w:rsid w:val="00BB5168"/>
    <w:rsid w:val="00BB6E13"/>
    <w:rsid w:val="00BC176D"/>
    <w:rsid w:val="00BC1BF6"/>
    <w:rsid w:val="00BC397F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1C7"/>
    <w:rsid w:val="00C013FA"/>
    <w:rsid w:val="00C01A09"/>
    <w:rsid w:val="00C02D39"/>
    <w:rsid w:val="00C05408"/>
    <w:rsid w:val="00C10520"/>
    <w:rsid w:val="00C11868"/>
    <w:rsid w:val="00C14880"/>
    <w:rsid w:val="00C21E53"/>
    <w:rsid w:val="00C221D1"/>
    <w:rsid w:val="00C2287B"/>
    <w:rsid w:val="00C24A75"/>
    <w:rsid w:val="00C268DF"/>
    <w:rsid w:val="00C32156"/>
    <w:rsid w:val="00C34114"/>
    <w:rsid w:val="00C3648D"/>
    <w:rsid w:val="00C527B8"/>
    <w:rsid w:val="00C55879"/>
    <w:rsid w:val="00C567AC"/>
    <w:rsid w:val="00C56BB3"/>
    <w:rsid w:val="00C5725D"/>
    <w:rsid w:val="00C606E3"/>
    <w:rsid w:val="00C673F3"/>
    <w:rsid w:val="00C74150"/>
    <w:rsid w:val="00C80221"/>
    <w:rsid w:val="00C90584"/>
    <w:rsid w:val="00C91CD7"/>
    <w:rsid w:val="00C94697"/>
    <w:rsid w:val="00CA0F7B"/>
    <w:rsid w:val="00CA5F72"/>
    <w:rsid w:val="00CB2CCD"/>
    <w:rsid w:val="00CB3430"/>
    <w:rsid w:val="00CC4265"/>
    <w:rsid w:val="00CC63F7"/>
    <w:rsid w:val="00CD37AB"/>
    <w:rsid w:val="00CD6726"/>
    <w:rsid w:val="00CE16B6"/>
    <w:rsid w:val="00CE2886"/>
    <w:rsid w:val="00CE4B86"/>
    <w:rsid w:val="00CE5A68"/>
    <w:rsid w:val="00CF6ACB"/>
    <w:rsid w:val="00D0060E"/>
    <w:rsid w:val="00D01B23"/>
    <w:rsid w:val="00D06C46"/>
    <w:rsid w:val="00D13019"/>
    <w:rsid w:val="00D228AE"/>
    <w:rsid w:val="00D3131E"/>
    <w:rsid w:val="00D343B6"/>
    <w:rsid w:val="00D45C9A"/>
    <w:rsid w:val="00D56444"/>
    <w:rsid w:val="00D62B9C"/>
    <w:rsid w:val="00D63F36"/>
    <w:rsid w:val="00D67C05"/>
    <w:rsid w:val="00D71581"/>
    <w:rsid w:val="00D7304D"/>
    <w:rsid w:val="00D739C4"/>
    <w:rsid w:val="00D75A24"/>
    <w:rsid w:val="00D75D19"/>
    <w:rsid w:val="00D77E58"/>
    <w:rsid w:val="00D855E3"/>
    <w:rsid w:val="00D871AF"/>
    <w:rsid w:val="00D90293"/>
    <w:rsid w:val="00D91A84"/>
    <w:rsid w:val="00D94D05"/>
    <w:rsid w:val="00DB2284"/>
    <w:rsid w:val="00DC7C8F"/>
    <w:rsid w:val="00DD0860"/>
    <w:rsid w:val="00DD299E"/>
    <w:rsid w:val="00DD44BD"/>
    <w:rsid w:val="00DE2D6B"/>
    <w:rsid w:val="00DE3EE2"/>
    <w:rsid w:val="00DE60C6"/>
    <w:rsid w:val="00DF0E2C"/>
    <w:rsid w:val="00DF233D"/>
    <w:rsid w:val="00DF33F8"/>
    <w:rsid w:val="00DF653B"/>
    <w:rsid w:val="00DF6B06"/>
    <w:rsid w:val="00DF6E72"/>
    <w:rsid w:val="00DF7E1B"/>
    <w:rsid w:val="00E005EC"/>
    <w:rsid w:val="00E1047D"/>
    <w:rsid w:val="00E1278F"/>
    <w:rsid w:val="00E168BF"/>
    <w:rsid w:val="00E30824"/>
    <w:rsid w:val="00E312F0"/>
    <w:rsid w:val="00E31DF5"/>
    <w:rsid w:val="00E32393"/>
    <w:rsid w:val="00E50FD1"/>
    <w:rsid w:val="00E52760"/>
    <w:rsid w:val="00E55A43"/>
    <w:rsid w:val="00E60A40"/>
    <w:rsid w:val="00E610DB"/>
    <w:rsid w:val="00E6348E"/>
    <w:rsid w:val="00E7694F"/>
    <w:rsid w:val="00E8219E"/>
    <w:rsid w:val="00E916D7"/>
    <w:rsid w:val="00E91917"/>
    <w:rsid w:val="00E92437"/>
    <w:rsid w:val="00E93C69"/>
    <w:rsid w:val="00E94ADD"/>
    <w:rsid w:val="00E95D34"/>
    <w:rsid w:val="00E962D9"/>
    <w:rsid w:val="00EA0A4E"/>
    <w:rsid w:val="00EA4A50"/>
    <w:rsid w:val="00EA4F0E"/>
    <w:rsid w:val="00EA68E0"/>
    <w:rsid w:val="00EB5D5B"/>
    <w:rsid w:val="00EB61C2"/>
    <w:rsid w:val="00EC7611"/>
    <w:rsid w:val="00ED265D"/>
    <w:rsid w:val="00EE07E0"/>
    <w:rsid w:val="00EE4A00"/>
    <w:rsid w:val="00EE7B7B"/>
    <w:rsid w:val="00F00522"/>
    <w:rsid w:val="00F007C5"/>
    <w:rsid w:val="00F0094B"/>
    <w:rsid w:val="00F0644C"/>
    <w:rsid w:val="00F12C6E"/>
    <w:rsid w:val="00F12E4A"/>
    <w:rsid w:val="00F21040"/>
    <w:rsid w:val="00F25DFB"/>
    <w:rsid w:val="00F26D39"/>
    <w:rsid w:val="00F34369"/>
    <w:rsid w:val="00F35C4A"/>
    <w:rsid w:val="00F377E2"/>
    <w:rsid w:val="00F40E55"/>
    <w:rsid w:val="00F41FD1"/>
    <w:rsid w:val="00F5609A"/>
    <w:rsid w:val="00F56854"/>
    <w:rsid w:val="00F61417"/>
    <w:rsid w:val="00F66213"/>
    <w:rsid w:val="00F7070B"/>
    <w:rsid w:val="00F75087"/>
    <w:rsid w:val="00F8098C"/>
    <w:rsid w:val="00F81655"/>
    <w:rsid w:val="00F818EE"/>
    <w:rsid w:val="00FA1FD1"/>
    <w:rsid w:val="00FA527C"/>
    <w:rsid w:val="00FB1032"/>
    <w:rsid w:val="00FC4CFB"/>
    <w:rsid w:val="00FC7E94"/>
    <w:rsid w:val="00FD0B50"/>
    <w:rsid w:val="00FD2516"/>
    <w:rsid w:val="00FD2AA6"/>
    <w:rsid w:val="00FE0E89"/>
    <w:rsid w:val="00FE0FB1"/>
    <w:rsid w:val="00FF404E"/>
    <w:rsid w:val="00FF438A"/>
    <w:rsid w:val="00FF4BC6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9F70B"/>
  <w15:chartTrackingRefBased/>
  <w15:docId w15:val="{E988A91F-E11C-4DB9-9D02-62146BB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1A7B2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w\AppData\Local\Temp\PATH-brief-template-USletter_2021.dotx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customXml/itemProps2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PATH-brief-template-USletter_2021.dotx</Template>
  <TotalTime>54</TotalTime>
  <Pages>13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Yulia Shvets</cp:lastModifiedBy>
  <cp:revision>52</cp:revision>
  <cp:lastPrinted>2018-05-21T20:08:00Z</cp:lastPrinted>
  <dcterms:created xsi:type="dcterms:W3CDTF">2026-06-01T18:30:00Z</dcterms:created>
  <dcterms:modified xsi:type="dcterms:W3CDTF">2026-06-15T13:33:00Z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