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Додаток 1. Технічне завдання до </w:t>
        <w:br w:type="textWrapping"/>
        <w:t xml:space="preserve">запиту на надання комерційних пропозицій на закупівлю складських фармацевтичних послуг для приймання, зберігання, обліку, контролю та підготовки до розподілу медичних товарів</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м. Харків, 01 травня 2026 року</w:t>
        <w:br w:type="textWrapping"/>
        <w:t xml:space="preserve">Референс №: RFQ/MK/PHARMA-WAREHOUSE/DoS/2026-04</w:t>
      </w:r>
    </w:p>
    <w:p w:rsidR="00000000" w:rsidDel="00000000" w:rsidP="00000000" w:rsidRDefault="00000000" w:rsidRPr="00000000" w14:paraId="00000004">
      <w:pPr>
        <w:pStyle w:val="Heading1"/>
        <w:spacing w:after="60" w:before="100" w:lineRule="auto"/>
        <w:jc w:val="both"/>
        <w:rPr>
          <w:sz w:val="24"/>
          <w:szCs w:val="24"/>
        </w:rPr>
      </w:pPr>
      <w:r w:rsidDel="00000000" w:rsidR="00000000" w:rsidRPr="00000000">
        <w:rPr>
          <w:sz w:val="24"/>
          <w:szCs w:val="24"/>
          <w:rtl w:val="0"/>
        </w:rPr>
        <w:t xml:space="preserve">1. Загальна інформація про Замовника</w:t>
      </w:r>
    </w:p>
    <w:tbl>
      <w:tblPr>
        <w:tblStyle w:val="Table1"/>
        <w:tblW w:w="1025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128"/>
        <w:gridCol w:w="5128"/>
        <w:tblGridChange w:id="0">
          <w:tblGrid>
            <w:gridCol w:w="5128"/>
            <w:gridCol w:w="5128"/>
          </w:tblGrid>
        </w:tblGridChange>
      </w:tblGrid>
      <w:tr>
        <w:trPr>
          <w:cantSplit w:val="0"/>
          <w:tblHeader w:val="0"/>
        </w:trPr>
        <w:tc>
          <w:tcPr>
            <w:vAlign w:val="top"/>
          </w:tcPr>
          <w:p w:rsidR="00000000" w:rsidDel="00000000" w:rsidP="00000000" w:rsidRDefault="00000000" w:rsidRPr="00000000" w14:paraId="00000005">
            <w:pPr>
              <w:spacing w:after="0" w:lineRule="auto"/>
              <w:jc w:val="both"/>
              <w:rPr>
                <w:sz w:val="24"/>
                <w:szCs w:val="24"/>
              </w:rPr>
            </w:pPr>
            <w:r w:rsidDel="00000000" w:rsidR="00000000" w:rsidRPr="00000000">
              <w:rPr>
                <w:sz w:val="24"/>
                <w:szCs w:val="24"/>
                <w:rtl w:val="0"/>
              </w:rPr>
              <w:t xml:space="preserve">Замовник</w:t>
            </w:r>
          </w:p>
        </w:tc>
        <w:tc>
          <w:tcPr>
            <w:vAlign w:val="top"/>
          </w:tcPr>
          <w:p w:rsidR="00000000" w:rsidDel="00000000" w:rsidP="00000000" w:rsidRDefault="00000000" w:rsidRPr="00000000" w14:paraId="00000006">
            <w:pPr>
              <w:spacing w:after="0" w:lineRule="auto"/>
              <w:jc w:val="both"/>
              <w:rPr>
                <w:sz w:val="24"/>
                <w:szCs w:val="24"/>
              </w:rPr>
            </w:pPr>
            <w:r w:rsidDel="00000000" w:rsidR="00000000" w:rsidRPr="00000000">
              <w:rPr>
                <w:sz w:val="24"/>
                <w:szCs w:val="24"/>
                <w:rtl w:val="0"/>
              </w:rPr>
              <w:t xml:space="preserve">Благодійна організація «Благодійний фонд «Місія Харків»</w:t>
            </w:r>
          </w:p>
        </w:tc>
      </w:tr>
      <w:tr>
        <w:trPr>
          <w:cantSplit w:val="0"/>
          <w:tblHeader w:val="0"/>
        </w:trPr>
        <w:tc>
          <w:tcPr>
            <w:vAlign w:val="top"/>
          </w:tcPr>
          <w:p w:rsidR="00000000" w:rsidDel="00000000" w:rsidP="00000000" w:rsidRDefault="00000000" w:rsidRPr="00000000" w14:paraId="00000007">
            <w:pPr>
              <w:spacing w:after="0" w:lineRule="auto"/>
              <w:jc w:val="both"/>
              <w:rPr>
                <w:sz w:val="24"/>
                <w:szCs w:val="24"/>
              </w:rPr>
            </w:pPr>
            <w:r w:rsidDel="00000000" w:rsidR="00000000" w:rsidRPr="00000000">
              <w:rPr>
                <w:sz w:val="24"/>
                <w:szCs w:val="24"/>
                <w:rtl w:val="0"/>
              </w:rPr>
              <w:t xml:space="preserve">ЄДРПОУ</w:t>
            </w:r>
          </w:p>
        </w:tc>
        <w:tc>
          <w:tcPr>
            <w:vAlign w:val="top"/>
          </w:tcPr>
          <w:p w:rsidR="00000000" w:rsidDel="00000000" w:rsidP="00000000" w:rsidRDefault="00000000" w:rsidRPr="00000000" w14:paraId="00000008">
            <w:pPr>
              <w:spacing w:after="0" w:lineRule="auto"/>
              <w:jc w:val="both"/>
              <w:rPr>
                <w:sz w:val="24"/>
                <w:szCs w:val="24"/>
              </w:rPr>
            </w:pPr>
            <w:r w:rsidDel="00000000" w:rsidR="00000000" w:rsidRPr="00000000">
              <w:rPr>
                <w:sz w:val="24"/>
                <w:szCs w:val="24"/>
                <w:rtl w:val="0"/>
              </w:rPr>
              <w:t xml:space="preserve">44892289</w:t>
            </w:r>
          </w:p>
        </w:tc>
      </w:tr>
      <w:tr>
        <w:trPr>
          <w:cantSplit w:val="0"/>
          <w:tblHeader w:val="0"/>
        </w:trPr>
        <w:tc>
          <w:tcPr>
            <w:vAlign w:val="top"/>
          </w:tcPr>
          <w:p w:rsidR="00000000" w:rsidDel="00000000" w:rsidP="00000000" w:rsidRDefault="00000000" w:rsidRPr="00000000" w14:paraId="00000009">
            <w:pPr>
              <w:spacing w:after="0" w:lineRule="auto"/>
              <w:jc w:val="both"/>
              <w:rPr>
                <w:sz w:val="24"/>
                <w:szCs w:val="24"/>
              </w:rPr>
            </w:pPr>
            <w:r w:rsidDel="00000000" w:rsidR="00000000" w:rsidRPr="00000000">
              <w:rPr>
                <w:sz w:val="24"/>
                <w:szCs w:val="24"/>
                <w:rtl w:val="0"/>
              </w:rPr>
              <w:t xml:space="preserve">Адреса</w:t>
            </w:r>
          </w:p>
        </w:tc>
        <w:tc>
          <w:tcPr>
            <w:vAlign w:val="top"/>
          </w:tcPr>
          <w:p w:rsidR="00000000" w:rsidDel="00000000" w:rsidP="00000000" w:rsidRDefault="00000000" w:rsidRPr="00000000" w14:paraId="0000000A">
            <w:pPr>
              <w:spacing w:after="0" w:lineRule="auto"/>
              <w:jc w:val="both"/>
              <w:rPr>
                <w:sz w:val="24"/>
                <w:szCs w:val="24"/>
              </w:rPr>
            </w:pPr>
            <w:r w:rsidDel="00000000" w:rsidR="00000000" w:rsidRPr="00000000">
              <w:rPr>
                <w:sz w:val="24"/>
                <w:szCs w:val="24"/>
                <w:rtl w:val="0"/>
              </w:rPr>
              <w:t xml:space="preserve">61022, м. Харків, пр. Незалежності, 5</w:t>
            </w:r>
          </w:p>
        </w:tc>
      </w:tr>
      <w:tr>
        <w:trPr>
          <w:cantSplit w:val="0"/>
          <w:tblHeader w:val="0"/>
        </w:trPr>
        <w:tc>
          <w:tcPr>
            <w:vAlign w:val="top"/>
          </w:tcPr>
          <w:p w:rsidR="00000000" w:rsidDel="00000000" w:rsidP="00000000" w:rsidRDefault="00000000" w:rsidRPr="00000000" w14:paraId="0000000B">
            <w:pPr>
              <w:spacing w:after="0" w:lineRule="auto"/>
              <w:jc w:val="both"/>
              <w:rPr>
                <w:sz w:val="24"/>
                <w:szCs w:val="24"/>
              </w:rPr>
            </w:pPr>
            <w:r w:rsidDel="00000000" w:rsidR="00000000" w:rsidRPr="00000000">
              <w:rPr>
                <w:sz w:val="24"/>
                <w:szCs w:val="24"/>
                <w:rtl w:val="0"/>
              </w:rPr>
              <w:t xml:space="preserve">Дата запиту</w:t>
            </w:r>
          </w:p>
        </w:tc>
        <w:tc>
          <w:tcPr>
            <w:vAlign w:val="top"/>
          </w:tcPr>
          <w:p w:rsidR="00000000" w:rsidDel="00000000" w:rsidP="00000000" w:rsidRDefault="00000000" w:rsidRPr="00000000" w14:paraId="0000000C">
            <w:pPr>
              <w:spacing w:after="0" w:lineRule="auto"/>
              <w:jc w:val="both"/>
              <w:rPr>
                <w:sz w:val="24"/>
                <w:szCs w:val="24"/>
              </w:rPr>
            </w:pPr>
            <w:r w:rsidDel="00000000" w:rsidR="00000000" w:rsidRPr="00000000">
              <w:rPr>
                <w:sz w:val="24"/>
                <w:szCs w:val="24"/>
                <w:rtl w:val="0"/>
              </w:rPr>
              <w:t xml:space="preserve">01 травня 2026 року</w:t>
            </w:r>
          </w:p>
        </w:tc>
      </w:tr>
      <w:tr>
        <w:trPr>
          <w:cantSplit w:val="0"/>
          <w:tblHeader w:val="0"/>
        </w:trPr>
        <w:tc>
          <w:tcPr>
            <w:vAlign w:val="top"/>
          </w:tcPr>
          <w:p w:rsidR="00000000" w:rsidDel="00000000" w:rsidP="00000000" w:rsidRDefault="00000000" w:rsidRPr="00000000" w14:paraId="0000000D">
            <w:pPr>
              <w:spacing w:after="0" w:lineRule="auto"/>
              <w:jc w:val="both"/>
              <w:rPr>
                <w:sz w:val="24"/>
                <w:szCs w:val="24"/>
              </w:rPr>
            </w:pPr>
            <w:r w:rsidDel="00000000" w:rsidR="00000000" w:rsidRPr="00000000">
              <w:rPr>
                <w:sz w:val="24"/>
                <w:szCs w:val="24"/>
                <w:rtl w:val="0"/>
              </w:rPr>
              <w:t xml:space="preserve">Референс №</w:t>
            </w:r>
          </w:p>
        </w:tc>
        <w:tc>
          <w:tcPr>
            <w:vAlign w:val="top"/>
          </w:tcPr>
          <w:p w:rsidR="00000000" w:rsidDel="00000000" w:rsidP="00000000" w:rsidRDefault="00000000" w:rsidRPr="00000000" w14:paraId="0000000E">
            <w:pPr>
              <w:spacing w:after="0" w:lineRule="auto"/>
              <w:jc w:val="both"/>
              <w:rPr>
                <w:sz w:val="24"/>
                <w:szCs w:val="24"/>
              </w:rPr>
            </w:pPr>
            <w:r w:rsidDel="00000000" w:rsidR="00000000" w:rsidRPr="00000000">
              <w:rPr>
                <w:sz w:val="24"/>
                <w:szCs w:val="24"/>
                <w:rtl w:val="0"/>
              </w:rPr>
              <w:t xml:space="preserve">RFQ/MK/PHARMA-WAREHOUSE/DoS/2026-04</w:t>
            </w:r>
          </w:p>
        </w:tc>
      </w:tr>
      <w:tr>
        <w:trPr>
          <w:cantSplit w:val="0"/>
          <w:tblHeader w:val="0"/>
        </w:trPr>
        <w:tc>
          <w:tcPr>
            <w:vAlign w:val="top"/>
          </w:tcPr>
          <w:p w:rsidR="00000000" w:rsidDel="00000000" w:rsidP="00000000" w:rsidRDefault="00000000" w:rsidRPr="00000000" w14:paraId="0000000F">
            <w:pPr>
              <w:spacing w:after="0" w:lineRule="auto"/>
              <w:jc w:val="both"/>
              <w:rPr>
                <w:sz w:val="24"/>
                <w:szCs w:val="24"/>
              </w:rPr>
            </w:pPr>
            <w:r w:rsidDel="00000000" w:rsidR="00000000" w:rsidRPr="00000000">
              <w:rPr>
                <w:sz w:val="24"/>
                <w:szCs w:val="24"/>
                <w:rtl w:val="0"/>
              </w:rPr>
              <w:t xml:space="preserve">Процедура</w:t>
            </w:r>
          </w:p>
        </w:tc>
        <w:tc>
          <w:tcPr>
            <w:vAlign w:val="top"/>
          </w:tcPr>
          <w:p w:rsidR="00000000" w:rsidDel="00000000" w:rsidP="00000000" w:rsidRDefault="00000000" w:rsidRPr="00000000" w14:paraId="00000010">
            <w:pPr>
              <w:spacing w:after="0" w:lineRule="auto"/>
              <w:jc w:val="both"/>
              <w:rPr>
                <w:sz w:val="24"/>
                <w:szCs w:val="24"/>
              </w:rPr>
            </w:pPr>
            <w:r w:rsidDel="00000000" w:rsidR="00000000" w:rsidRPr="00000000">
              <w:rPr>
                <w:sz w:val="24"/>
                <w:szCs w:val="24"/>
                <w:rtl w:val="0"/>
              </w:rPr>
              <w:t xml:space="preserve">Запит на надання комерційних пропозицій</w:t>
            </w:r>
          </w:p>
        </w:tc>
      </w:tr>
      <w:tr>
        <w:trPr>
          <w:cantSplit w:val="0"/>
          <w:tblHeader w:val="0"/>
        </w:trPr>
        <w:tc>
          <w:tcPr>
            <w:vAlign w:val="top"/>
          </w:tcPr>
          <w:p w:rsidR="00000000" w:rsidDel="00000000" w:rsidP="00000000" w:rsidRDefault="00000000" w:rsidRPr="00000000" w14:paraId="00000011">
            <w:pPr>
              <w:spacing w:after="0" w:lineRule="auto"/>
              <w:jc w:val="both"/>
              <w:rPr>
                <w:sz w:val="24"/>
                <w:szCs w:val="24"/>
              </w:rPr>
            </w:pPr>
            <w:r w:rsidDel="00000000" w:rsidR="00000000" w:rsidRPr="00000000">
              <w:rPr>
                <w:sz w:val="24"/>
                <w:szCs w:val="24"/>
                <w:rtl w:val="0"/>
              </w:rPr>
              <w:t xml:space="preserve">Орієнтовна локація надання послуг</w:t>
            </w:r>
          </w:p>
        </w:tc>
        <w:tc>
          <w:tcPr>
            <w:vAlign w:val="top"/>
          </w:tcPr>
          <w:p w:rsidR="00000000" w:rsidDel="00000000" w:rsidP="00000000" w:rsidRDefault="00000000" w:rsidRPr="00000000" w14:paraId="00000012">
            <w:pPr>
              <w:spacing w:after="0" w:lineRule="auto"/>
              <w:jc w:val="both"/>
              <w:rPr>
                <w:sz w:val="24"/>
                <w:szCs w:val="24"/>
              </w:rPr>
            </w:pPr>
            <w:r w:rsidDel="00000000" w:rsidR="00000000" w:rsidRPr="00000000">
              <w:rPr>
                <w:sz w:val="24"/>
                <w:szCs w:val="24"/>
                <w:rtl w:val="0"/>
              </w:rPr>
              <w:t xml:space="preserve">Склад, Київська область, або інша погоджена локація, що забезпечує належне виконання послуг</w:t>
            </w:r>
          </w:p>
        </w:tc>
      </w:tr>
    </w:tbl>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spacing w:after="60" w:line="250" w:lineRule="auto"/>
        <w:jc w:val="both"/>
        <w:rPr>
          <w:sz w:val="24"/>
          <w:szCs w:val="24"/>
        </w:rPr>
      </w:pPr>
      <w:r w:rsidDel="00000000" w:rsidR="00000000" w:rsidRPr="00000000">
        <w:rPr>
          <w:sz w:val="24"/>
          <w:szCs w:val="24"/>
          <w:rtl w:val="0"/>
        </w:rPr>
        <w:t xml:space="preserve">Закупівля проводиться відповідно до Політики про порядок проведення закупівель БО «БФ «Місія Харків», внутрішніх процедур Замовника та застосовних вимог проєкту.</w:t>
      </w:r>
    </w:p>
    <w:p w:rsidR="00000000" w:rsidDel="00000000" w:rsidP="00000000" w:rsidRDefault="00000000" w:rsidRPr="00000000" w14:paraId="00000015">
      <w:pPr>
        <w:pStyle w:val="Heading1"/>
        <w:spacing w:after="60" w:before="100" w:lineRule="auto"/>
        <w:jc w:val="both"/>
        <w:rPr>
          <w:sz w:val="24"/>
          <w:szCs w:val="24"/>
        </w:rPr>
      </w:pPr>
      <w:r w:rsidDel="00000000" w:rsidR="00000000" w:rsidRPr="00000000">
        <w:rPr>
          <w:sz w:val="24"/>
          <w:szCs w:val="24"/>
          <w:rtl w:val="0"/>
        </w:rPr>
        <w:t xml:space="preserve">2. Контекст та призначення закупівлі</w:t>
      </w:r>
    </w:p>
    <w:p w:rsidR="00000000" w:rsidDel="00000000" w:rsidP="00000000" w:rsidRDefault="00000000" w:rsidRPr="00000000" w14:paraId="00000016">
      <w:pPr>
        <w:spacing w:after="60" w:line="250" w:lineRule="auto"/>
        <w:jc w:val="both"/>
        <w:rPr>
          <w:sz w:val="24"/>
          <w:szCs w:val="24"/>
        </w:rPr>
      </w:pPr>
      <w:r w:rsidDel="00000000" w:rsidR="00000000" w:rsidRPr="00000000">
        <w:rPr>
          <w:sz w:val="24"/>
          <w:szCs w:val="24"/>
          <w:rtl w:val="0"/>
        </w:rPr>
        <w:t xml:space="preserve">Закупівля здійснюється в межах проєкту </w:t>
      </w:r>
      <w:r w:rsidDel="00000000" w:rsidR="00000000" w:rsidRPr="00000000">
        <w:rPr>
          <w:sz w:val="24"/>
          <w:szCs w:val="24"/>
          <w:rtl w:val="0"/>
        </w:rPr>
        <w:t xml:space="preserve">Комплексні послуги захисту постраждалого від бойових дій цивільного населення й покращення навичок стійкості працівників, які приходять на допомогу першими</w:t>
      </w:r>
      <w:r w:rsidDel="00000000" w:rsidR="00000000" w:rsidRPr="00000000">
        <w:rPr>
          <w:sz w:val="24"/>
          <w:szCs w:val="24"/>
          <w:rtl w:val="0"/>
        </w:rPr>
        <w:t xml:space="preserve">, що реалізується за підтримки </w:t>
      </w:r>
      <w:r w:rsidDel="00000000" w:rsidR="00000000" w:rsidRPr="00000000">
        <w:rPr>
          <w:sz w:val="24"/>
          <w:szCs w:val="24"/>
          <w:rtl w:val="0"/>
        </w:rPr>
        <w:t xml:space="preserve">United States Department of State (DoS) / Уряд Сполучених Штатів Америки </w:t>
      </w:r>
      <w:r w:rsidDel="00000000" w:rsidR="00000000" w:rsidRPr="00000000">
        <w:rPr>
          <w:sz w:val="24"/>
          <w:szCs w:val="24"/>
          <w:rtl w:val="0"/>
        </w:rPr>
        <w:t xml:space="preserve">..</w:t>
      </w:r>
    </w:p>
    <w:p w:rsidR="00000000" w:rsidDel="00000000" w:rsidP="00000000" w:rsidRDefault="00000000" w:rsidRPr="00000000" w14:paraId="00000017">
      <w:pPr>
        <w:spacing w:after="60" w:line="250" w:lineRule="auto"/>
        <w:jc w:val="both"/>
        <w:rPr>
          <w:sz w:val="24"/>
          <w:szCs w:val="24"/>
        </w:rPr>
      </w:pPr>
      <w:r w:rsidDel="00000000" w:rsidR="00000000" w:rsidRPr="00000000">
        <w:rPr>
          <w:sz w:val="24"/>
          <w:szCs w:val="24"/>
          <w:rtl w:val="0"/>
        </w:rPr>
        <w:t xml:space="preserve">БО «БФ «Місія Харків» залучена як імплементаційний партнер для реалізації компоненту, спрямованого на закупівлю лікарських засобіву вигляді медичних наборів, експрес-діагностичних тестів, для спеціалізованих закладів охорони здоров’я та центрів первинної медико-санітарної допомоги у Сумській, Харківській, Дніпропетровській, Запорізькій та Миколаївській областях.</w:t>
      </w:r>
    </w:p>
    <w:p w:rsidR="00000000" w:rsidDel="00000000" w:rsidP="00000000" w:rsidRDefault="00000000" w:rsidRPr="00000000" w14:paraId="00000018">
      <w:pPr>
        <w:spacing w:after="60" w:line="250" w:lineRule="auto"/>
        <w:jc w:val="both"/>
        <w:rPr>
          <w:sz w:val="24"/>
          <w:szCs w:val="24"/>
        </w:rPr>
      </w:pPr>
      <w:r w:rsidDel="00000000" w:rsidR="00000000" w:rsidRPr="00000000">
        <w:rPr>
          <w:sz w:val="24"/>
          <w:szCs w:val="24"/>
          <w:rtl w:val="0"/>
        </w:rPr>
        <w:t xml:space="preserve">Послуги ліцензованого фармацевтичного складу необхідні для приймання закуплених медичних товарів, проведення обов’язкових фармацевтичних процедур відповідно до законодавства України та забезпечення належних умов зберігання перед їх подальшим розподілом до медичних закладів-бенефіціарів.</w:t>
      </w:r>
    </w:p>
    <w:p w:rsidR="00000000" w:rsidDel="00000000" w:rsidP="00000000" w:rsidRDefault="00000000" w:rsidRPr="00000000" w14:paraId="00000019">
      <w:pPr>
        <w:spacing w:after="60" w:line="250" w:lineRule="auto"/>
        <w:jc w:val="both"/>
        <w:rPr>
          <w:sz w:val="24"/>
          <w:szCs w:val="24"/>
        </w:rPr>
      </w:pPr>
      <w:r w:rsidDel="00000000" w:rsidR="00000000" w:rsidRPr="00000000">
        <w:rPr>
          <w:rtl w:val="0"/>
        </w:rPr>
      </w:r>
    </w:p>
    <w:p w:rsidR="00000000" w:rsidDel="00000000" w:rsidP="00000000" w:rsidRDefault="00000000" w:rsidRPr="00000000" w14:paraId="0000001A">
      <w:pPr>
        <w:spacing w:after="60" w:line="250" w:lineRule="auto"/>
        <w:jc w:val="both"/>
        <w:rPr>
          <w:b w:val="1"/>
          <w:bCs w:val="1"/>
          <w:sz w:val="24"/>
          <w:szCs w:val="24"/>
        </w:rPr>
      </w:pPr>
      <w:r w:rsidDel="00000000" w:rsidR="00000000" w:rsidRPr="00000000">
        <w:rPr>
          <w:b w:val="1"/>
          <w:bCs w:val="1"/>
          <w:sz w:val="24"/>
          <w:szCs w:val="24"/>
          <w:rtl w:val="0"/>
        </w:rPr>
        <w:t xml:space="preserve">Особливості застосування ПДВ</w:t>
      </w:r>
    </w:p>
    <w:p w:rsidR="00000000" w:rsidDel="00000000" w:rsidP="00000000" w:rsidRDefault="00000000" w:rsidRPr="00000000" w14:paraId="0000001B">
      <w:pPr>
        <w:spacing w:after="60" w:line="250" w:lineRule="auto"/>
        <w:jc w:val="both"/>
        <w:rPr>
          <w:sz w:val="24"/>
          <w:szCs w:val="24"/>
        </w:rPr>
      </w:pPr>
      <w:r w:rsidDel="00000000" w:rsidR="00000000" w:rsidRPr="00000000">
        <w:rPr>
          <w:sz w:val="24"/>
          <w:szCs w:val="24"/>
          <w:rtl w:val="0"/>
        </w:rPr>
        <w:t xml:space="preserve">Закупівля може здійснюватися в межах проєкту, який підлягає державній реєстрації як проєкт міжнародної технічної допомоги. У разі державної реєстрації проєкту міжнародної технічної допомоги, включення відповідної закупівлі до плану закупівель проєкту та надання Замовником належних підтвердних документів операції з постачання товарів, робіт або послуг у межах такого проєкту можуть підлягати звільненню від оподаткування ПДВ відповідно до пункту 197.11 Податкового кодексу України та застосовного порядку реалізації проєктів міжнародної технічної допомоги.</w:t>
      </w:r>
    </w:p>
    <w:p w:rsidR="00000000" w:rsidDel="00000000" w:rsidP="00000000" w:rsidRDefault="00000000" w:rsidRPr="00000000" w14:paraId="0000001C">
      <w:pPr>
        <w:spacing w:after="60" w:line="250" w:lineRule="auto"/>
        <w:jc w:val="both"/>
        <w:rPr>
          <w:sz w:val="24"/>
          <w:szCs w:val="24"/>
        </w:rPr>
      </w:pPr>
      <w:r w:rsidDel="00000000" w:rsidR="00000000" w:rsidRPr="00000000">
        <w:rPr>
          <w:sz w:val="24"/>
          <w:szCs w:val="24"/>
          <w:rtl w:val="0"/>
        </w:rPr>
        <w:t xml:space="preserve">Учасник повинен зазначити у комерційній пропозиції ціну з ПДВ та, за можливості, ціну без ПДВ, а також підтвердити, чи має можливість виставляти рахунки та оформлювати первинні документи без нарахування ПДВ після надання Замовником документів, що підтверджують право на застосування відповідної пільги.          </w:t>
      </w:r>
    </w:p>
    <w:p w:rsidR="00000000" w:rsidDel="00000000" w:rsidP="00000000" w:rsidRDefault="00000000" w:rsidRPr="00000000" w14:paraId="0000001D">
      <w:pPr>
        <w:spacing w:after="60" w:line="250" w:lineRule="auto"/>
        <w:jc w:val="both"/>
        <w:rPr>
          <w:sz w:val="24"/>
          <w:szCs w:val="24"/>
        </w:rPr>
      </w:pPr>
      <w:r w:rsidDel="00000000" w:rsidR="00000000" w:rsidRPr="00000000">
        <w:rPr>
          <w:sz w:val="24"/>
          <w:szCs w:val="24"/>
          <w:rtl w:val="0"/>
        </w:rPr>
        <w:t xml:space="preserve">Якщо на момент виставлення рахунку або укладення договору підтвердні документи для застосування звільнення від ПДВ відсутні або не охоплюють відповідну закупівлю, оподаткування здійснюється відповідно до загальних правил законодавства України.</w:t>
      </w:r>
    </w:p>
    <w:p w:rsidR="00000000" w:rsidDel="00000000" w:rsidP="00000000" w:rsidRDefault="00000000" w:rsidRPr="00000000" w14:paraId="0000001E">
      <w:pPr>
        <w:spacing w:after="60" w:line="250" w:lineRule="auto"/>
        <w:jc w:val="both"/>
        <w:rPr>
          <w:sz w:val="24"/>
          <w:szCs w:val="24"/>
        </w:rPr>
      </w:pPr>
      <w:r w:rsidDel="00000000" w:rsidR="00000000" w:rsidRPr="00000000">
        <w:rPr>
          <w:rtl w:val="0"/>
        </w:rPr>
      </w:r>
    </w:p>
    <w:p w:rsidR="00000000" w:rsidDel="00000000" w:rsidP="00000000" w:rsidRDefault="00000000" w:rsidRPr="00000000" w14:paraId="0000001F">
      <w:pPr>
        <w:pStyle w:val="Heading1"/>
        <w:spacing w:after="60" w:before="100" w:lineRule="auto"/>
        <w:jc w:val="both"/>
        <w:rPr>
          <w:sz w:val="24"/>
          <w:szCs w:val="24"/>
        </w:rPr>
      </w:pPr>
      <w:r w:rsidDel="00000000" w:rsidR="00000000" w:rsidRPr="00000000">
        <w:rPr>
          <w:sz w:val="24"/>
          <w:szCs w:val="24"/>
          <w:rtl w:val="0"/>
        </w:rPr>
        <w:t xml:space="preserve">3. Назва послуги та загальний обсяг</w:t>
      </w:r>
    </w:p>
    <w:p w:rsidR="00000000" w:rsidDel="00000000" w:rsidP="00000000" w:rsidRDefault="00000000" w:rsidRPr="00000000" w14:paraId="00000020">
      <w:pPr>
        <w:spacing w:after="60" w:line="250" w:lineRule="auto"/>
        <w:jc w:val="both"/>
        <w:rPr>
          <w:sz w:val="24"/>
          <w:szCs w:val="24"/>
        </w:rPr>
      </w:pPr>
      <w:r w:rsidDel="00000000" w:rsidR="00000000" w:rsidRPr="00000000">
        <w:rPr>
          <w:sz w:val="24"/>
          <w:szCs w:val="24"/>
          <w:rtl w:val="0"/>
        </w:rPr>
        <w:t xml:space="preserve">Назва послуги: комплекс послуг фармацевтичного складу щодо приймання, зберігання, контролю якості, складського обліку, простежуваності, сортування, перепакування, формування партій та підготовки до розподілу, експрес-діагностичних тестів, лікарських засобів, медичних наборів та інших медичних товарів.</w:t>
      </w:r>
    </w:p>
    <w:p w:rsidR="00000000" w:rsidDel="00000000" w:rsidP="00000000" w:rsidRDefault="00000000" w:rsidRPr="00000000" w14:paraId="00000021">
      <w:pPr>
        <w:spacing w:after="40" w:lineRule="auto"/>
        <w:ind w:left="312" w:hanging="198"/>
        <w:jc w:val="both"/>
        <w:rPr>
          <w:sz w:val="24"/>
          <w:szCs w:val="24"/>
        </w:rPr>
      </w:pPr>
      <w:r w:rsidDel="00000000" w:rsidR="00000000" w:rsidRPr="00000000">
        <w:rPr>
          <w:sz w:val="24"/>
          <w:szCs w:val="24"/>
          <w:rtl w:val="0"/>
        </w:rPr>
        <w:t xml:space="preserve">• Кількість: 1 комплексна послуга.</w:t>
      </w:r>
    </w:p>
    <w:p w:rsidR="00000000" w:rsidDel="00000000" w:rsidP="00000000" w:rsidRDefault="00000000" w:rsidRPr="00000000" w14:paraId="00000022">
      <w:pPr>
        <w:spacing w:after="40" w:lineRule="auto"/>
        <w:ind w:left="312" w:hanging="198"/>
        <w:jc w:val="both"/>
        <w:rPr>
          <w:sz w:val="24"/>
          <w:szCs w:val="24"/>
        </w:rPr>
      </w:pPr>
      <w:r w:rsidDel="00000000" w:rsidR="00000000" w:rsidRPr="00000000">
        <w:rPr>
          <w:sz w:val="24"/>
          <w:szCs w:val="24"/>
          <w:rtl w:val="0"/>
        </w:rPr>
        <w:t xml:space="preserve">• Орієнтовний обсяг Вантажу: 33 палети. Якщо учасник застосовує різні тарифи залежно від типу палети, у пропозиції потрібно окремо зазначити тариф для стандартної EURO палети 120 х 80 см, орієнтовна висота до 1,2 м, та умови для нестандартних палет.</w:t>
      </w:r>
    </w:p>
    <w:p w:rsidR="00000000" w:rsidDel="00000000" w:rsidP="00000000" w:rsidRDefault="00000000" w:rsidRPr="00000000" w14:paraId="00000023">
      <w:pPr>
        <w:spacing w:after="40" w:lineRule="auto"/>
        <w:ind w:left="312" w:hanging="198"/>
        <w:jc w:val="both"/>
        <w:rPr>
          <w:sz w:val="24"/>
          <w:szCs w:val="24"/>
        </w:rPr>
      </w:pPr>
      <w:r w:rsidDel="00000000" w:rsidR="00000000" w:rsidRPr="00000000">
        <w:rPr>
          <w:sz w:val="24"/>
          <w:szCs w:val="24"/>
          <w:rtl w:val="0"/>
        </w:rPr>
        <w:t xml:space="preserve">• Фактичний склад, кількість, температурний режим і період зберігання можуть уточнюватися залежно від фактичних закупівель, умов постачання та потреб проєкту.</w:t>
      </w:r>
    </w:p>
    <w:p w:rsidR="00000000" w:rsidDel="00000000" w:rsidP="00000000" w:rsidRDefault="00000000" w:rsidRPr="00000000" w14:paraId="00000024">
      <w:pPr>
        <w:pStyle w:val="Heading1"/>
        <w:spacing w:after="60" w:before="100" w:lineRule="auto"/>
        <w:jc w:val="both"/>
        <w:rPr>
          <w:sz w:val="24"/>
          <w:szCs w:val="24"/>
        </w:rPr>
      </w:pPr>
      <w:r w:rsidDel="00000000" w:rsidR="00000000" w:rsidRPr="00000000">
        <w:rPr>
          <w:sz w:val="24"/>
          <w:szCs w:val="24"/>
          <w:rtl w:val="0"/>
        </w:rPr>
        <w:t xml:space="preserve">4. Орієнтовний перелік Вантажу</w:t>
      </w:r>
    </w:p>
    <w:p w:rsidR="00000000" w:rsidDel="00000000" w:rsidP="00000000" w:rsidRDefault="00000000" w:rsidRPr="00000000" w14:paraId="00000025">
      <w:pPr>
        <w:spacing w:after="40" w:lineRule="auto"/>
        <w:ind w:left="312" w:hanging="198"/>
        <w:jc w:val="both"/>
        <w:rPr>
          <w:sz w:val="24"/>
          <w:szCs w:val="24"/>
        </w:rPr>
      </w:pPr>
      <w:r w:rsidDel="00000000" w:rsidR="00000000" w:rsidRPr="00000000">
        <w:rPr>
          <w:sz w:val="24"/>
          <w:szCs w:val="24"/>
          <w:rtl w:val="0"/>
        </w:rPr>
        <w:t xml:space="preserve">• експрес-діагностичні тести;</w:t>
      </w:r>
    </w:p>
    <w:p w:rsidR="00000000" w:rsidDel="00000000" w:rsidP="00000000" w:rsidRDefault="00000000" w:rsidRPr="00000000" w14:paraId="00000026">
      <w:pPr>
        <w:spacing w:after="40" w:lineRule="auto"/>
        <w:ind w:left="312" w:hanging="198"/>
        <w:jc w:val="both"/>
        <w:rPr>
          <w:sz w:val="24"/>
          <w:szCs w:val="24"/>
        </w:rPr>
      </w:pPr>
      <w:r w:rsidDel="00000000" w:rsidR="00000000" w:rsidRPr="00000000">
        <w:rPr>
          <w:sz w:val="24"/>
          <w:szCs w:val="24"/>
          <w:rtl w:val="0"/>
        </w:rPr>
        <w:t xml:space="preserve">• лікарські засоби, що закуповуються в межах проєкту;</w:t>
      </w:r>
    </w:p>
    <w:p w:rsidR="00000000" w:rsidDel="00000000" w:rsidP="00000000" w:rsidRDefault="00000000" w:rsidRPr="00000000" w14:paraId="00000027">
      <w:pPr>
        <w:spacing w:after="40" w:lineRule="auto"/>
        <w:ind w:left="312" w:hanging="198"/>
        <w:jc w:val="both"/>
        <w:rPr>
          <w:sz w:val="24"/>
          <w:szCs w:val="24"/>
        </w:rPr>
      </w:pPr>
      <w:r w:rsidDel="00000000" w:rsidR="00000000" w:rsidRPr="00000000">
        <w:rPr>
          <w:sz w:val="24"/>
          <w:szCs w:val="24"/>
          <w:rtl w:val="0"/>
        </w:rPr>
        <w:t xml:space="preserve">• медичні набори;</w:t>
      </w:r>
    </w:p>
    <w:p w:rsidR="00000000" w:rsidDel="00000000" w:rsidP="00000000" w:rsidRDefault="00000000" w:rsidRPr="00000000" w14:paraId="00000028">
      <w:pPr>
        <w:spacing w:after="40" w:lineRule="auto"/>
        <w:ind w:left="312" w:hanging="198"/>
        <w:jc w:val="both"/>
        <w:rPr>
          <w:sz w:val="24"/>
          <w:szCs w:val="24"/>
        </w:rPr>
      </w:pPr>
      <w:r w:rsidDel="00000000" w:rsidR="00000000" w:rsidRPr="00000000">
        <w:rPr>
          <w:sz w:val="24"/>
          <w:szCs w:val="24"/>
          <w:rtl w:val="0"/>
        </w:rPr>
        <w:t xml:space="preserve">• інші медичні товари, необхідні для реалізації проєкту.</w:t>
      </w:r>
    </w:p>
    <w:p w:rsidR="00000000" w:rsidDel="00000000" w:rsidP="00000000" w:rsidRDefault="00000000" w:rsidRPr="00000000" w14:paraId="00000029">
      <w:pPr>
        <w:pStyle w:val="Heading1"/>
        <w:spacing w:after="60" w:before="100" w:lineRule="auto"/>
        <w:jc w:val="both"/>
        <w:rPr>
          <w:sz w:val="24"/>
          <w:szCs w:val="24"/>
        </w:rPr>
      </w:pPr>
      <w:r w:rsidDel="00000000" w:rsidR="00000000" w:rsidRPr="00000000">
        <w:rPr>
          <w:sz w:val="24"/>
          <w:szCs w:val="24"/>
          <w:rtl w:val="0"/>
        </w:rPr>
        <w:t xml:space="preserve">5. Склад послуги</w:t>
      </w:r>
    </w:p>
    <w:p w:rsidR="00000000" w:rsidDel="00000000" w:rsidP="00000000" w:rsidRDefault="00000000" w:rsidRPr="00000000" w14:paraId="0000002A">
      <w:pPr>
        <w:spacing w:after="60" w:line="250" w:lineRule="auto"/>
        <w:jc w:val="both"/>
        <w:rPr>
          <w:sz w:val="24"/>
          <w:szCs w:val="24"/>
        </w:rPr>
      </w:pPr>
      <w:r w:rsidDel="00000000" w:rsidR="00000000" w:rsidRPr="00000000">
        <w:rPr>
          <w:sz w:val="24"/>
          <w:szCs w:val="24"/>
          <w:rtl w:val="0"/>
        </w:rPr>
        <w:t xml:space="preserve">Послуга включає комплекс складських, фармацевтичних, облікових і підготовчих операцій щодо Вантажу, зокрема:</w:t>
      </w:r>
    </w:p>
    <w:p w:rsidR="00000000" w:rsidDel="00000000" w:rsidP="00000000" w:rsidRDefault="00000000" w:rsidRPr="00000000" w14:paraId="0000002B">
      <w:pPr>
        <w:spacing w:after="40" w:lineRule="auto"/>
        <w:ind w:left="312" w:hanging="198"/>
        <w:jc w:val="both"/>
        <w:rPr>
          <w:sz w:val="24"/>
          <w:szCs w:val="24"/>
        </w:rPr>
      </w:pPr>
      <w:r w:rsidDel="00000000" w:rsidR="00000000" w:rsidRPr="00000000">
        <w:rPr>
          <w:sz w:val="24"/>
          <w:szCs w:val="24"/>
          <w:rtl w:val="0"/>
        </w:rPr>
        <w:t xml:space="preserve">• попередню координацію поставки, отримання інструкцій Замовника та планування приймання;</w:t>
      </w:r>
    </w:p>
    <w:p w:rsidR="00000000" w:rsidDel="00000000" w:rsidP="00000000" w:rsidRDefault="00000000" w:rsidRPr="00000000" w14:paraId="0000002C">
      <w:pPr>
        <w:spacing w:after="40" w:lineRule="auto"/>
        <w:ind w:left="312" w:hanging="198"/>
        <w:jc w:val="both"/>
        <w:rPr>
          <w:sz w:val="24"/>
          <w:szCs w:val="24"/>
        </w:rPr>
      </w:pPr>
      <w:r w:rsidDel="00000000" w:rsidR="00000000" w:rsidRPr="00000000">
        <w:rPr>
          <w:sz w:val="24"/>
          <w:szCs w:val="24"/>
          <w:rtl w:val="0"/>
        </w:rPr>
        <w:t xml:space="preserve">• приймання, розвантаження та реєстрацію Вантажу;</w:t>
      </w:r>
    </w:p>
    <w:p w:rsidR="00000000" w:rsidDel="00000000" w:rsidP="00000000" w:rsidRDefault="00000000" w:rsidRPr="00000000" w14:paraId="0000002D">
      <w:pPr>
        <w:spacing w:after="40" w:lineRule="auto"/>
        <w:ind w:left="312" w:hanging="198"/>
        <w:jc w:val="both"/>
        <w:rPr>
          <w:sz w:val="24"/>
          <w:szCs w:val="24"/>
        </w:rPr>
      </w:pPr>
      <w:r w:rsidDel="00000000" w:rsidR="00000000" w:rsidRPr="00000000">
        <w:rPr>
          <w:sz w:val="24"/>
          <w:szCs w:val="24"/>
          <w:rtl w:val="0"/>
        </w:rPr>
        <w:t xml:space="preserve">• перевірку товаросупровідної документації;</w:t>
      </w:r>
    </w:p>
    <w:p w:rsidR="00000000" w:rsidDel="00000000" w:rsidP="00000000" w:rsidRDefault="00000000" w:rsidRPr="00000000" w14:paraId="0000002E">
      <w:pPr>
        <w:spacing w:after="40" w:lineRule="auto"/>
        <w:ind w:left="312" w:hanging="198"/>
        <w:jc w:val="both"/>
        <w:rPr>
          <w:sz w:val="24"/>
          <w:szCs w:val="24"/>
        </w:rPr>
      </w:pPr>
      <w:r w:rsidDel="00000000" w:rsidR="00000000" w:rsidRPr="00000000">
        <w:rPr>
          <w:sz w:val="24"/>
          <w:szCs w:val="24"/>
          <w:rtl w:val="0"/>
        </w:rPr>
        <w:t xml:space="preserve">• візуальний контроль стану, цілісності, маркування та відповідності Вантажу;</w:t>
      </w:r>
    </w:p>
    <w:p w:rsidR="00000000" w:rsidDel="00000000" w:rsidP="00000000" w:rsidRDefault="00000000" w:rsidRPr="00000000" w14:paraId="0000002F">
      <w:pPr>
        <w:spacing w:after="40" w:lineRule="auto"/>
        <w:ind w:left="312" w:hanging="198"/>
        <w:jc w:val="both"/>
        <w:rPr>
          <w:sz w:val="24"/>
          <w:szCs w:val="24"/>
        </w:rPr>
      </w:pPr>
      <w:r w:rsidDel="00000000" w:rsidR="00000000" w:rsidRPr="00000000">
        <w:rPr>
          <w:sz w:val="24"/>
          <w:szCs w:val="24"/>
          <w:rtl w:val="0"/>
        </w:rPr>
        <w:t xml:space="preserve">• карантинні процедури та/або карантинне зберігання, якщо застосовно;</w:t>
      </w:r>
    </w:p>
    <w:p w:rsidR="00000000" w:rsidDel="00000000" w:rsidP="00000000" w:rsidRDefault="00000000" w:rsidRPr="00000000" w14:paraId="00000030">
      <w:pPr>
        <w:spacing w:after="40" w:lineRule="auto"/>
        <w:ind w:left="312" w:hanging="198"/>
        <w:jc w:val="both"/>
        <w:rPr>
          <w:sz w:val="24"/>
          <w:szCs w:val="24"/>
        </w:rPr>
      </w:pPr>
      <w:r w:rsidDel="00000000" w:rsidR="00000000" w:rsidRPr="00000000">
        <w:rPr>
          <w:sz w:val="24"/>
          <w:szCs w:val="24"/>
          <w:rtl w:val="0"/>
        </w:rPr>
        <w:t xml:space="preserve">• процедури вхідного контролю якості відповідно до вимог законодавства України та внутрішніх процедур Виконавця;</w:t>
      </w:r>
    </w:p>
    <w:p w:rsidR="00000000" w:rsidDel="00000000" w:rsidP="00000000" w:rsidRDefault="00000000" w:rsidRPr="00000000" w14:paraId="00000031">
      <w:pPr>
        <w:spacing w:after="40" w:lineRule="auto"/>
        <w:ind w:left="312" w:hanging="198"/>
        <w:jc w:val="both"/>
        <w:rPr>
          <w:sz w:val="24"/>
          <w:szCs w:val="24"/>
        </w:rPr>
      </w:pPr>
      <w:r w:rsidDel="00000000" w:rsidR="00000000" w:rsidRPr="00000000">
        <w:rPr>
          <w:sz w:val="24"/>
          <w:szCs w:val="24"/>
          <w:rtl w:val="0"/>
        </w:rPr>
        <w:t xml:space="preserve">• розміщення Вантажу у відповідних температурних зонах;</w:t>
      </w:r>
    </w:p>
    <w:p w:rsidR="00000000" w:rsidDel="00000000" w:rsidP="00000000" w:rsidRDefault="00000000" w:rsidRPr="00000000" w14:paraId="00000032">
      <w:pPr>
        <w:spacing w:after="40" w:lineRule="auto"/>
        <w:ind w:left="312" w:hanging="198"/>
        <w:jc w:val="both"/>
        <w:rPr>
          <w:sz w:val="24"/>
          <w:szCs w:val="24"/>
        </w:rPr>
      </w:pPr>
      <w:r w:rsidDel="00000000" w:rsidR="00000000" w:rsidRPr="00000000">
        <w:rPr>
          <w:sz w:val="24"/>
          <w:szCs w:val="24"/>
          <w:rtl w:val="0"/>
        </w:rPr>
        <w:t xml:space="preserve">• забезпечення належних умов зберігання та моніторинг умов зберігання;</w:t>
      </w:r>
    </w:p>
    <w:p w:rsidR="00000000" w:rsidDel="00000000" w:rsidP="00000000" w:rsidRDefault="00000000" w:rsidRPr="00000000" w14:paraId="00000033">
      <w:pPr>
        <w:spacing w:after="40" w:lineRule="auto"/>
        <w:ind w:left="312" w:hanging="198"/>
        <w:jc w:val="both"/>
        <w:rPr>
          <w:sz w:val="24"/>
          <w:szCs w:val="24"/>
        </w:rPr>
      </w:pPr>
      <w:r w:rsidDel="00000000" w:rsidR="00000000" w:rsidRPr="00000000">
        <w:rPr>
          <w:sz w:val="24"/>
          <w:szCs w:val="24"/>
          <w:rtl w:val="0"/>
        </w:rPr>
        <w:t xml:space="preserve">• складський облік, управління запасами, партіями/серіями, строками придатності та статусами зберігання;</w:t>
      </w:r>
    </w:p>
    <w:p w:rsidR="00000000" w:rsidDel="00000000" w:rsidP="00000000" w:rsidRDefault="00000000" w:rsidRPr="00000000" w14:paraId="00000034">
      <w:pPr>
        <w:spacing w:after="40" w:lineRule="auto"/>
        <w:ind w:left="312" w:hanging="198"/>
        <w:jc w:val="both"/>
        <w:rPr>
          <w:sz w:val="24"/>
          <w:szCs w:val="24"/>
        </w:rPr>
      </w:pPr>
      <w:r w:rsidDel="00000000" w:rsidR="00000000" w:rsidRPr="00000000">
        <w:rPr>
          <w:sz w:val="24"/>
          <w:szCs w:val="24"/>
          <w:rtl w:val="0"/>
        </w:rPr>
        <w:t xml:space="preserve">• дотримання принципу FEFO, якщо застосовно;</w:t>
      </w:r>
    </w:p>
    <w:p w:rsidR="00000000" w:rsidDel="00000000" w:rsidP="00000000" w:rsidRDefault="00000000" w:rsidRPr="00000000" w14:paraId="00000035">
      <w:pPr>
        <w:spacing w:after="40" w:lineRule="auto"/>
        <w:ind w:left="312" w:hanging="198"/>
        <w:jc w:val="both"/>
        <w:rPr>
          <w:sz w:val="24"/>
          <w:szCs w:val="24"/>
        </w:rPr>
      </w:pPr>
      <w:r w:rsidDel="00000000" w:rsidR="00000000" w:rsidRPr="00000000">
        <w:rPr>
          <w:sz w:val="24"/>
          <w:szCs w:val="24"/>
          <w:rtl w:val="0"/>
        </w:rPr>
        <w:t xml:space="preserve">• проведення вибіркової або повної інвентаризації за окремим запитом Замовника, якщо така послуга буде потрібна;</w:t>
      </w:r>
    </w:p>
    <w:p w:rsidR="00000000" w:rsidDel="00000000" w:rsidP="00000000" w:rsidRDefault="00000000" w:rsidRPr="00000000" w14:paraId="00000036">
      <w:pPr>
        <w:spacing w:after="40" w:lineRule="auto"/>
        <w:ind w:left="312" w:hanging="198"/>
        <w:jc w:val="both"/>
        <w:rPr>
          <w:sz w:val="24"/>
          <w:szCs w:val="24"/>
        </w:rPr>
      </w:pPr>
      <w:r w:rsidDel="00000000" w:rsidR="00000000" w:rsidRPr="00000000">
        <w:rPr>
          <w:sz w:val="24"/>
          <w:szCs w:val="24"/>
          <w:rtl w:val="0"/>
        </w:rPr>
        <w:t xml:space="preserve">• сортування, перепакування, комплектацію та формування партій для подальшого розподілу;</w:t>
      </w:r>
    </w:p>
    <w:p w:rsidR="00000000" w:rsidDel="00000000" w:rsidP="00000000" w:rsidRDefault="00000000" w:rsidRPr="00000000" w14:paraId="00000037">
      <w:pPr>
        <w:spacing w:after="40" w:lineRule="auto"/>
        <w:ind w:left="312" w:hanging="198"/>
        <w:jc w:val="both"/>
        <w:rPr>
          <w:sz w:val="24"/>
          <w:szCs w:val="24"/>
        </w:rPr>
      </w:pPr>
      <w:r w:rsidDel="00000000" w:rsidR="00000000" w:rsidRPr="00000000">
        <w:rPr>
          <w:sz w:val="24"/>
          <w:szCs w:val="24"/>
          <w:rtl w:val="0"/>
        </w:rPr>
        <w:t xml:space="preserve">• палетизацію, перепалетизацію, пакування, маркування та підготовку до транспортування;</w:t>
      </w:r>
    </w:p>
    <w:p w:rsidR="00000000" w:rsidDel="00000000" w:rsidP="00000000" w:rsidRDefault="00000000" w:rsidRPr="00000000" w14:paraId="00000038">
      <w:pPr>
        <w:spacing w:after="40" w:lineRule="auto"/>
        <w:ind w:left="312" w:hanging="198"/>
        <w:jc w:val="both"/>
        <w:rPr>
          <w:sz w:val="24"/>
          <w:szCs w:val="24"/>
        </w:rPr>
      </w:pPr>
      <w:r w:rsidDel="00000000" w:rsidR="00000000" w:rsidRPr="00000000">
        <w:rPr>
          <w:sz w:val="24"/>
          <w:szCs w:val="24"/>
          <w:rtl w:val="0"/>
        </w:rPr>
        <w:t xml:space="preserve">• оформлення складських, супровідних та первинних документів;</w:t>
      </w:r>
    </w:p>
    <w:p w:rsidR="00000000" w:rsidDel="00000000" w:rsidP="00000000" w:rsidRDefault="00000000" w:rsidRPr="00000000" w14:paraId="00000039">
      <w:pPr>
        <w:spacing w:after="40" w:lineRule="auto"/>
        <w:ind w:left="312" w:hanging="198"/>
        <w:jc w:val="both"/>
        <w:rPr>
          <w:sz w:val="24"/>
          <w:szCs w:val="24"/>
        </w:rPr>
      </w:pPr>
      <w:r w:rsidDel="00000000" w:rsidR="00000000" w:rsidRPr="00000000">
        <w:rPr>
          <w:sz w:val="24"/>
          <w:szCs w:val="24"/>
          <w:rtl w:val="0"/>
        </w:rPr>
        <w:t xml:space="preserve">• підготовку до відвантаження, завантаження та передачу Вантажу уповноваженому перевізнику Замовника;</w:t>
      </w:r>
    </w:p>
    <w:p w:rsidR="00000000" w:rsidDel="00000000" w:rsidP="00000000" w:rsidRDefault="00000000" w:rsidRPr="00000000" w14:paraId="0000003A">
      <w:pPr>
        <w:spacing w:after="40" w:lineRule="auto"/>
        <w:ind w:left="312" w:hanging="198"/>
        <w:jc w:val="both"/>
        <w:rPr>
          <w:sz w:val="24"/>
          <w:szCs w:val="24"/>
        </w:rPr>
      </w:pPr>
      <w:r w:rsidDel="00000000" w:rsidR="00000000" w:rsidRPr="00000000">
        <w:rPr>
          <w:sz w:val="24"/>
          <w:szCs w:val="24"/>
          <w:rtl w:val="0"/>
        </w:rPr>
        <w:t xml:space="preserve">• внутрішній контроль простежуваності, відповідності та звітності.</w:t>
      </w:r>
    </w:p>
    <w:p w:rsidR="00000000" w:rsidDel="00000000" w:rsidP="00000000" w:rsidRDefault="00000000" w:rsidRPr="00000000" w14:paraId="0000003B">
      <w:pPr>
        <w:pStyle w:val="Heading1"/>
        <w:spacing w:after="60" w:before="100" w:lineRule="auto"/>
        <w:jc w:val="both"/>
        <w:rPr>
          <w:sz w:val="24"/>
          <w:szCs w:val="24"/>
        </w:rPr>
      </w:pPr>
      <w:r w:rsidDel="00000000" w:rsidR="00000000" w:rsidRPr="00000000">
        <w:rPr>
          <w:sz w:val="24"/>
          <w:szCs w:val="24"/>
          <w:rtl w:val="0"/>
        </w:rPr>
        <w:t xml:space="preserve">6. Вимоги до складу та умов зберігання</w:t>
      </w:r>
    </w:p>
    <w:p w:rsidR="00000000" w:rsidDel="00000000" w:rsidP="00000000" w:rsidRDefault="00000000" w:rsidRPr="00000000" w14:paraId="0000003C">
      <w:pPr>
        <w:spacing w:after="60" w:line="250" w:lineRule="auto"/>
        <w:jc w:val="both"/>
        <w:rPr>
          <w:sz w:val="24"/>
          <w:szCs w:val="24"/>
        </w:rPr>
      </w:pPr>
      <w:r w:rsidDel="00000000" w:rsidR="00000000" w:rsidRPr="00000000">
        <w:rPr>
          <w:sz w:val="24"/>
          <w:szCs w:val="24"/>
          <w:rtl w:val="0"/>
        </w:rPr>
        <w:t xml:space="preserve">Зберігання Вантажу здійснюється на ліцензованому фармацевтичному складі або іншому складі, який має необхідні правові підстави, процедури та умови для відповідних категорій Вантажу. Склад повинен:</w:t>
      </w:r>
    </w:p>
    <w:p w:rsidR="00000000" w:rsidDel="00000000" w:rsidP="00000000" w:rsidRDefault="00000000" w:rsidRPr="00000000" w14:paraId="0000003D">
      <w:pPr>
        <w:spacing w:after="40" w:lineRule="auto"/>
        <w:ind w:left="312" w:hanging="198"/>
        <w:jc w:val="both"/>
        <w:rPr>
          <w:sz w:val="24"/>
          <w:szCs w:val="24"/>
        </w:rPr>
      </w:pPr>
      <w:r w:rsidDel="00000000" w:rsidR="00000000" w:rsidRPr="00000000">
        <w:rPr>
          <w:sz w:val="24"/>
          <w:szCs w:val="24"/>
          <w:rtl w:val="0"/>
        </w:rPr>
        <w:t xml:space="preserve">• відповідати вимогам належної дистриб’юторської практики (GDP), належної практики зберігання та/або іншим обов’язковим вимогам, застосовним до відповідної категорії Вантажу;</w:t>
      </w:r>
    </w:p>
    <w:p w:rsidR="00000000" w:rsidDel="00000000" w:rsidP="00000000" w:rsidRDefault="00000000" w:rsidRPr="00000000" w14:paraId="0000003E">
      <w:pPr>
        <w:spacing w:after="40" w:lineRule="auto"/>
        <w:ind w:left="312" w:hanging="198"/>
        <w:jc w:val="both"/>
        <w:rPr>
          <w:sz w:val="24"/>
          <w:szCs w:val="24"/>
        </w:rPr>
      </w:pPr>
      <w:r w:rsidDel="00000000" w:rsidR="00000000" w:rsidRPr="00000000">
        <w:rPr>
          <w:sz w:val="24"/>
          <w:szCs w:val="24"/>
          <w:rtl w:val="0"/>
        </w:rPr>
        <w:t xml:space="preserve">• мати чинні ліцензії, дозволи, сертифікати або інші документи, передбачені законодавством України, якщо застосовно;</w:t>
      </w:r>
    </w:p>
    <w:p w:rsidR="00000000" w:rsidDel="00000000" w:rsidP="00000000" w:rsidRDefault="00000000" w:rsidRPr="00000000" w14:paraId="0000003F">
      <w:pPr>
        <w:spacing w:after="40" w:lineRule="auto"/>
        <w:ind w:left="312" w:hanging="198"/>
        <w:jc w:val="both"/>
        <w:rPr>
          <w:sz w:val="24"/>
          <w:szCs w:val="24"/>
        </w:rPr>
      </w:pPr>
      <w:r w:rsidDel="00000000" w:rsidR="00000000" w:rsidRPr="00000000">
        <w:rPr>
          <w:sz w:val="24"/>
          <w:szCs w:val="24"/>
          <w:rtl w:val="0"/>
        </w:rPr>
        <w:t xml:space="preserve">• мати карантинні зони або процедури карантинного зберігання;</w:t>
      </w:r>
    </w:p>
    <w:p w:rsidR="00000000" w:rsidDel="00000000" w:rsidP="00000000" w:rsidRDefault="00000000" w:rsidRPr="00000000" w14:paraId="00000040">
      <w:pPr>
        <w:spacing w:after="40" w:lineRule="auto"/>
        <w:ind w:left="312" w:hanging="198"/>
        <w:jc w:val="both"/>
        <w:rPr>
          <w:sz w:val="24"/>
          <w:szCs w:val="24"/>
        </w:rPr>
      </w:pPr>
      <w:r w:rsidDel="00000000" w:rsidR="00000000" w:rsidRPr="00000000">
        <w:rPr>
          <w:sz w:val="24"/>
          <w:szCs w:val="24"/>
          <w:rtl w:val="0"/>
        </w:rPr>
        <w:t xml:space="preserve">• мати відокремлені зони приймання, зберігання, сортування, підготовки та відвантаження;</w:t>
      </w:r>
    </w:p>
    <w:p w:rsidR="00000000" w:rsidDel="00000000" w:rsidP="00000000" w:rsidRDefault="00000000" w:rsidRPr="00000000" w14:paraId="00000041">
      <w:pPr>
        <w:spacing w:after="40" w:lineRule="auto"/>
        <w:ind w:left="312" w:hanging="198"/>
        <w:jc w:val="both"/>
        <w:rPr>
          <w:sz w:val="24"/>
          <w:szCs w:val="24"/>
        </w:rPr>
      </w:pPr>
      <w:r w:rsidDel="00000000" w:rsidR="00000000" w:rsidRPr="00000000">
        <w:rPr>
          <w:sz w:val="24"/>
          <w:szCs w:val="24"/>
          <w:rtl w:val="0"/>
        </w:rPr>
        <w:t xml:space="preserve">• забезпечувати підтримання температурних режимів, необхідних для відповідної категорії Вантажу, зокрема +15...+25 °C та/або +2...+8 °C, якщо такий режим буде потрібен;</w:t>
      </w:r>
    </w:p>
    <w:p w:rsidR="00000000" w:rsidDel="00000000" w:rsidP="00000000" w:rsidRDefault="00000000" w:rsidRPr="00000000" w14:paraId="00000042">
      <w:pPr>
        <w:spacing w:after="40" w:lineRule="auto"/>
        <w:ind w:left="312" w:hanging="198"/>
        <w:jc w:val="both"/>
        <w:rPr>
          <w:sz w:val="24"/>
          <w:szCs w:val="24"/>
        </w:rPr>
      </w:pPr>
      <w:r w:rsidDel="00000000" w:rsidR="00000000" w:rsidRPr="00000000">
        <w:rPr>
          <w:sz w:val="24"/>
          <w:szCs w:val="24"/>
          <w:rtl w:val="0"/>
        </w:rPr>
        <w:t xml:space="preserve">• забезпечувати безперервний або регулярний документований моніторинг температури, вологості та інших умов зберігання, якщо застосовно;</w:t>
      </w:r>
    </w:p>
    <w:p w:rsidR="00000000" w:rsidDel="00000000" w:rsidP="00000000" w:rsidRDefault="00000000" w:rsidRPr="00000000" w14:paraId="00000043">
      <w:pPr>
        <w:spacing w:after="40" w:lineRule="auto"/>
        <w:ind w:left="312" w:hanging="198"/>
        <w:jc w:val="both"/>
        <w:rPr>
          <w:sz w:val="24"/>
          <w:szCs w:val="24"/>
        </w:rPr>
      </w:pPr>
      <w:r w:rsidDel="00000000" w:rsidR="00000000" w:rsidRPr="00000000">
        <w:rPr>
          <w:sz w:val="24"/>
          <w:szCs w:val="24"/>
          <w:rtl w:val="0"/>
        </w:rPr>
        <w:t xml:space="preserve">• бути обладнаним системами безпеки, контролю доступу, охорони та/або відеоспостереження;</w:t>
      </w:r>
    </w:p>
    <w:p w:rsidR="00000000" w:rsidDel="00000000" w:rsidP="00000000" w:rsidRDefault="00000000" w:rsidRPr="00000000" w14:paraId="00000044">
      <w:pPr>
        <w:spacing w:after="40" w:lineRule="auto"/>
        <w:ind w:left="312" w:hanging="198"/>
        <w:jc w:val="both"/>
        <w:rPr>
          <w:sz w:val="24"/>
          <w:szCs w:val="24"/>
        </w:rPr>
      </w:pPr>
      <w:r w:rsidDel="00000000" w:rsidR="00000000" w:rsidRPr="00000000">
        <w:rPr>
          <w:sz w:val="24"/>
          <w:szCs w:val="24"/>
          <w:rtl w:val="0"/>
        </w:rPr>
        <w:t xml:space="preserve">• мати належне складське обладнання для роботи з палетами, коробами та медичними товарами;</w:t>
      </w:r>
    </w:p>
    <w:p w:rsidR="00000000" w:rsidDel="00000000" w:rsidP="00000000" w:rsidRDefault="00000000" w:rsidRPr="00000000" w14:paraId="00000045">
      <w:pPr>
        <w:spacing w:after="40" w:lineRule="auto"/>
        <w:ind w:left="312" w:hanging="198"/>
        <w:jc w:val="both"/>
        <w:rPr>
          <w:sz w:val="24"/>
          <w:szCs w:val="24"/>
        </w:rPr>
      </w:pPr>
      <w:r w:rsidDel="00000000" w:rsidR="00000000" w:rsidRPr="00000000">
        <w:rPr>
          <w:sz w:val="24"/>
          <w:szCs w:val="24"/>
          <w:rtl w:val="0"/>
        </w:rPr>
        <w:t xml:space="preserve">• забезпечувати належний технічний стан обладнання та систем контролю умов зберігання, включаючи калібрування, повірку або інші форми підтвердження придатності вимірювальних приладів, якщо застосовно.</w:t>
      </w:r>
    </w:p>
    <w:p w:rsidR="00000000" w:rsidDel="00000000" w:rsidP="00000000" w:rsidRDefault="00000000" w:rsidRPr="00000000" w14:paraId="00000046">
      <w:pPr>
        <w:pStyle w:val="Heading1"/>
        <w:spacing w:after="60" w:before="100" w:lineRule="auto"/>
        <w:jc w:val="both"/>
        <w:rPr>
          <w:sz w:val="24"/>
          <w:szCs w:val="24"/>
        </w:rPr>
      </w:pPr>
      <w:r w:rsidDel="00000000" w:rsidR="00000000" w:rsidRPr="00000000">
        <w:rPr>
          <w:sz w:val="24"/>
          <w:szCs w:val="24"/>
          <w:rtl w:val="0"/>
        </w:rPr>
        <w:t xml:space="preserve">7. Вимоги до транспортування та відвантаження</w:t>
      </w:r>
    </w:p>
    <w:p w:rsidR="00000000" w:rsidDel="00000000" w:rsidP="00000000" w:rsidRDefault="00000000" w:rsidRPr="00000000" w14:paraId="00000047">
      <w:pPr>
        <w:spacing w:after="60" w:line="250" w:lineRule="auto"/>
        <w:jc w:val="both"/>
        <w:rPr>
          <w:sz w:val="24"/>
          <w:szCs w:val="24"/>
        </w:rPr>
      </w:pPr>
      <w:r w:rsidDel="00000000" w:rsidR="00000000" w:rsidRPr="00000000">
        <w:rPr>
          <w:sz w:val="24"/>
          <w:szCs w:val="24"/>
          <w:rtl w:val="0"/>
        </w:rPr>
        <w:t xml:space="preserve">Транспортування Вантажу до медичних закладів-бенефіціарів не є основним предметом Послуги Виконавця. Після завершення підготовчих процедур Вантаж забирається зі складу та транспортується рефрижераторним транспортом Замовника або уповноваженим перевізником Замовника.</w:t>
      </w:r>
    </w:p>
    <w:p w:rsidR="00000000" w:rsidDel="00000000" w:rsidP="00000000" w:rsidRDefault="00000000" w:rsidRPr="00000000" w14:paraId="00000048">
      <w:pPr>
        <w:spacing w:after="60" w:line="250" w:lineRule="auto"/>
        <w:jc w:val="both"/>
        <w:rPr>
          <w:sz w:val="24"/>
          <w:szCs w:val="24"/>
        </w:rPr>
      </w:pPr>
      <w:r w:rsidDel="00000000" w:rsidR="00000000" w:rsidRPr="00000000">
        <w:rPr>
          <w:sz w:val="24"/>
          <w:szCs w:val="24"/>
          <w:rtl w:val="0"/>
        </w:rPr>
        <w:t xml:space="preserve">Виконавець зобов’язаний:</w:t>
      </w:r>
    </w:p>
    <w:p w:rsidR="00000000" w:rsidDel="00000000" w:rsidP="00000000" w:rsidRDefault="00000000" w:rsidRPr="00000000" w14:paraId="00000049">
      <w:pPr>
        <w:spacing w:after="40" w:lineRule="auto"/>
        <w:ind w:left="312" w:hanging="198"/>
        <w:jc w:val="both"/>
        <w:rPr>
          <w:sz w:val="24"/>
          <w:szCs w:val="24"/>
        </w:rPr>
      </w:pPr>
      <w:r w:rsidDel="00000000" w:rsidR="00000000" w:rsidRPr="00000000">
        <w:rPr>
          <w:sz w:val="24"/>
          <w:szCs w:val="24"/>
          <w:rtl w:val="0"/>
        </w:rPr>
        <w:t xml:space="preserve">• забезпечити належну підготовку Вантажу до транспортування;</w:t>
      </w:r>
    </w:p>
    <w:p w:rsidR="00000000" w:rsidDel="00000000" w:rsidP="00000000" w:rsidRDefault="00000000" w:rsidRPr="00000000" w14:paraId="0000004A">
      <w:pPr>
        <w:spacing w:after="40" w:lineRule="auto"/>
        <w:ind w:left="312" w:hanging="198"/>
        <w:jc w:val="both"/>
        <w:rPr>
          <w:sz w:val="24"/>
          <w:szCs w:val="24"/>
        </w:rPr>
      </w:pPr>
      <w:r w:rsidDel="00000000" w:rsidR="00000000" w:rsidRPr="00000000">
        <w:rPr>
          <w:sz w:val="24"/>
          <w:szCs w:val="24"/>
          <w:rtl w:val="0"/>
        </w:rPr>
        <w:t xml:space="preserve">• здійснити пакування, маркування, сортування та формування партій відповідно до вимог Замовника, виробника, умов зберігання та транспортної безпеки;</w:t>
      </w:r>
    </w:p>
    <w:p w:rsidR="00000000" w:rsidDel="00000000" w:rsidP="00000000" w:rsidRDefault="00000000" w:rsidRPr="00000000" w14:paraId="0000004B">
      <w:pPr>
        <w:spacing w:after="40" w:lineRule="auto"/>
        <w:ind w:left="312" w:hanging="198"/>
        <w:jc w:val="both"/>
        <w:rPr>
          <w:sz w:val="24"/>
          <w:szCs w:val="24"/>
        </w:rPr>
      </w:pPr>
      <w:r w:rsidDel="00000000" w:rsidR="00000000" w:rsidRPr="00000000">
        <w:rPr>
          <w:sz w:val="24"/>
          <w:szCs w:val="24"/>
          <w:rtl w:val="0"/>
        </w:rPr>
        <w:t xml:space="preserve">• забезпечити дотримання умов зберігання до моменту фактичної передачі Вантажу уповноваженому перевізнику Замовника;</w:t>
      </w:r>
    </w:p>
    <w:p w:rsidR="00000000" w:rsidDel="00000000" w:rsidP="00000000" w:rsidRDefault="00000000" w:rsidRPr="00000000" w14:paraId="0000004C">
      <w:pPr>
        <w:spacing w:after="40" w:lineRule="auto"/>
        <w:ind w:left="312" w:hanging="198"/>
        <w:jc w:val="both"/>
        <w:rPr>
          <w:sz w:val="24"/>
          <w:szCs w:val="24"/>
        </w:rPr>
      </w:pPr>
      <w:r w:rsidDel="00000000" w:rsidR="00000000" w:rsidRPr="00000000">
        <w:rPr>
          <w:sz w:val="24"/>
          <w:szCs w:val="24"/>
          <w:rtl w:val="0"/>
        </w:rPr>
        <w:t xml:space="preserve">• забезпечити підготовку та фактичне відвантаження Вантажу уповноваженому перевізнику Замовника протягом не більше 3 календарних днів з моменту отримання письмового запиту від Замовника, якщо інший строк не погоджений Сторонами письмово;</w:t>
      </w:r>
    </w:p>
    <w:p w:rsidR="00000000" w:rsidDel="00000000" w:rsidP="00000000" w:rsidRDefault="00000000" w:rsidRPr="00000000" w14:paraId="0000004D">
      <w:pPr>
        <w:spacing w:after="40" w:lineRule="auto"/>
        <w:ind w:left="312" w:hanging="198"/>
        <w:jc w:val="both"/>
        <w:rPr>
          <w:sz w:val="24"/>
          <w:szCs w:val="24"/>
        </w:rPr>
      </w:pPr>
      <w:r w:rsidDel="00000000" w:rsidR="00000000" w:rsidRPr="00000000">
        <w:rPr>
          <w:sz w:val="24"/>
          <w:szCs w:val="24"/>
          <w:rtl w:val="0"/>
        </w:rPr>
        <w:t xml:space="preserve">• оформити необхідні складські, супровідні та первинні документи для передачі Вантажу;</w:t>
      </w:r>
    </w:p>
    <w:p w:rsidR="00000000" w:rsidDel="00000000" w:rsidP="00000000" w:rsidRDefault="00000000" w:rsidRPr="00000000" w14:paraId="0000004E">
      <w:pPr>
        <w:spacing w:after="40" w:lineRule="auto"/>
        <w:ind w:left="312" w:hanging="198"/>
        <w:jc w:val="both"/>
        <w:rPr>
          <w:sz w:val="24"/>
          <w:szCs w:val="24"/>
        </w:rPr>
      </w:pPr>
      <w:r w:rsidDel="00000000" w:rsidR="00000000" w:rsidRPr="00000000">
        <w:rPr>
          <w:sz w:val="24"/>
          <w:szCs w:val="24"/>
          <w:rtl w:val="0"/>
        </w:rPr>
        <w:t xml:space="preserve">• повідомити Замовника про будь-які обставини, які можуть вплинути на строк, якість або безпеку відвантаження.</w:t>
      </w:r>
    </w:p>
    <w:p w:rsidR="00000000" w:rsidDel="00000000" w:rsidP="00000000" w:rsidRDefault="00000000" w:rsidRPr="00000000" w14:paraId="0000004F">
      <w:pPr>
        <w:spacing w:after="60" w:line="250" w:lineRule="auto"/>
        <w:jc w:val="both"/>
        <w:rPr>
          <w:sz w:val="24"/>
          <w:szCs w:val="24"/>
        </w:rPr>
      </w:pPr>
      <w:r w:rsidDel="00000000" w:rsidR="00000000" w:rsidRPr="00000000">
        <w:rPr>
          <w:sz w:val="24"/>
          <w:szCs w:val="24"/>
          <w:rtl w:val="0"/>
        </w:rPr>
        <w:t xml:space="preserve">Учасник може окремо надати інформацію про опційні транспортні послуги, митний супровід, термоконтейнери або додаткове страхування транспортування. Такі опційні послуги не входять до основного предмета оцінки, якщо Замовник окремо не визначить інше.</w:t>
      </w:r>
    </w:p>
    <w:p w:rsidR="00000000" w:rsidDel="00000000" w:rsidP="00000000" w:rsidRDefault="00000000" w:rsidRPr="00000000" w14:paraId="00000050">
      <w:pPr>
        <w:pStyle w:val="Heading1"/>
        <w:spacing w:after="60" w:before="100" w:lineRule="auto"/>
        <w:jc w:val="both"/>
        <w:rPr>
          <w:sz w:val="24"/>
          <w:szCs w:val="24"/>
        </w:rPr>
      </w:pPr>
      <w:r w:rsidDel="00000000" w:rsidR="00000000" w:rsidRPr="00000000">
        <w:rPr>
          <w:sz w:val="24"/>
          <w:szCs w:val="24"/>
          <w:rtl w:val="0"/>
        </w:rPr>
        <w:t xml:space="preserve">8. Нормативні вимоги</w:t>
      </w:r>
    </w:p>
    <w:p w:rsidR="00000000" w:rsidDel="00000000" w:rsidP="00000000" w:rsidRDefault="00000000" w:rsidRPr="00000000" w14:paraId="00000051">
      <w:pPr>
        <w:spacing w:after="60" w:line="250" w:lineRule="auto"/>
        <w:jc w:val="both"/>
        <w:rPr>
          <w:sz w:val="24"/>
          <w:szCs w:val="24"/>
        </w:rPr>
      </w:pPr>
      <w:r w:rsidDel="00000000" w:rsidR="00000000" w:rsidRPr="00000000">
        <w:rPr>
          <w:sz w:val="24"/>
          <w:szCs w:val="24"/>
          <w:rtl w:val="0"/>
        </w:rPr>
        <w:t xml:space="preserve">Послуга повинна надаватись з дотриманням:</w:t>
      </w:r>
    </w:p>
    <w:p w:rsidR="00000000" w:rsidDel="00000000" w:rsidP="00000000" w:rsidRDefault="00000000" w:rsidRPr="00000000" w14:paraId="00000052">
      <w:pPr>
        <w:spacing w:after="40" w:lineRule="auto"/>
        <w:ind w:left="312" w:hanging="198"/>
        <w:jc w:val="both"/>
        <w:rPr>
          <w:sz w:val="24"/>
          <w:szCs w:val="24"/>
        </w:rPr>
      </w:pPr>
      <w:r w:rsidDel="00000000" w:rsidR="00000000" w:rsidRPr="00000000">
        <w:rPr>
          <w:sz w:val="24"/>
          <w:szCs w:val="24"/>
          <w:rtl w:val="0"/>
        </w:rPr>
        <w:t xml:space="preserve">• вимог ліцензійних умов обігу лікарських засобів, якщо застосовно;</w:t>
      </w:r>
    </w:p>
    <w:p w:rsidR="00000000" w:rsidDel="00000000" w:rsidP="00000000" w:rsidRDefault="00000000" w:rsidRPr="00000000" w14:paraId="00000053">
      <w:pPr>
        <w:spacing w:after="40" w:lineRule="auto"/>
        <w:ind w:left="312" w:hanging="198"/>
        <w:jc w:val="both"/>
        <w:rPr>
          <w:sz w:val="24"/>
          <w:szCs w:val="24"/>
        </w:rPr>
      </w:pPr>
      <w:r w:rsidDel="00000000" w:rsidR="00000000" w:rsidRPr="00000000">
        <w:rPr>
          <w:sz w:val="24"/>
          <w:szCs w:val="24"/>
          <w:rtl w:val="0"/>
        </w:rPr>
        <w:t xml:space="preserve">• вимог належної дистриб’юторської практики (GDP), якщо застосовно;</w:t>
      </w:r>
    </w:p>
    <w:p w:rsidR="00000000" w:rsidDel="00000000" w:rsidP="00000000" w:rsidRDefault="00000000" w:rsidRPr="00000000" w14:paraId="00000054">
      <w:pPr>
        <w:spacing w:after="40" w:lineRule="auto"/>
        <w:ind w:left="312" w:hanging="198"/>
        <w:jc w:val="both"/>
        <w:rPr>
          <w:sz w:val="24"/>
          <w:szCs w:val="24"/>
        </w:rPr>
      </w:pPr>
      <w:r w:rsidDel="00000000" w:rsidR="00000000" w:rsidRPr="00000000">
        <w:rPr>
          <w:sz w:val="24"/>
          <w:szCs w:val="24"/>
          <w:rtl w:val="0"/>
        </w:rPr>
        <w:t xml:space="preserve">• вимог належної практики зберігання;</w:t>
      </w:r>
    </w:p>
    <w:p w:rsidR="00000000" w:rsidDel="00000000" w:rsidP="00000000" w:rsidRDefault="00000000" w:rsidRPr="00000000" w14:paraId="00000055">
      <w:pPr>
        <w:spacing w:after="40" w:lineRule="auto"/>
        <w:ind w:left="312" w:hanging="198"/>
        <w:jc w:val="both"/>
        <w:rPr>
          <w:sz w:val="24"/>
          <w:szCs w:val="24"/>
        </w:rPr>
      </w:pPr>
      <w:r w:rsidDel="00000000" w:rsidR="00000000" w:rsidRPr="00000000">
        <w:rPr>
          <w:sz w:val="24"/>
          <w:szCs w:val="24"/>
          <w:rtl w:val="0"/>
        </w:rPr>
        <w:t xml:space="preserve">• чинного законодавства України у сфері обігу лікарських засобів, медичних виробів та інших відповідних категорій медичних товарів;</w:t>
      </w:r>
    </w:p>
    <w:p w:rsidR="00000000" w:rsidDel="00000000" w:rsidP="00000000" w:rsidRDefault="00000000" w:rsidRPr="00000000" w14:paraId="00000056">
      <w:pPr>
        <w:spacing w:after="40" w:lineRule="auto"/>
        <w:ind w:left="312" w:hanging="198"/>
        <w:jc w:val="both"/>
        <w:rPr>
          <w:sz w:val="24"/>
          <w:szCs w:val="24"/>
        </w:rPr>
      </w:pPr>
      <w:r w:rsidDel="00000000" w:rsidR="00000000" w:rsidRPr="00000000">
        <w:rPr>
          <w:sz w:val="24"/>
          <w:szCs w:val="24"/>
          <w:rtl w:val="0"/>
        </w:rPr>
        <w:t xml:space="preserve">• вимог до якості, простежуваності, належного документообігу і зберігання товаросупровідних документів;</w:t>
      </w:r>
    </w:p>
    <w:p w:rsidR="00000000" w:rsidDel="00000000" w:rsidP="00000000" w:rsidRDefault="00000000" w:rsidRPr="00000000" w14:paraId="00000057">
      <w:pPr>
        <w:spacing w:after="40" w:lineRule="auto"/>
        <w:ind w:left="312" w:hanging="198"/>
        <w:jc w:val="both"/>
        <w:rPr>
          <w:sz w:val="24"/>
          <w:szCs w:val="24"/>
        </w:rPr>
      </w:pPr>
      <w:r w:rsidDel="00000000" w:rsidR="00000000" w:rsidRPr="00000000">
        <w:rPr>
          <w:sz w:val="24"/>
          <w:szCs w:val="24"/>
          <w:rtl w:val="0"/>
        </w:rPr>
        <w:t xml:space="preserve">• інших обов’язкових нормативно-правових актів, що регулюють фармацевтичну діяльність та складські операції з відповідними категоріями Вантажу.</w:t>
      </w:r>
    </w:p>
    <w:p w:rsidR="00000000" w:rsidDel="00000000" w:rsidP="00000000" w:rsidRDefault="00000000" w:rsidRPr="00000000" w14:paraId="00000058">
      <w:pPr>
        <w:pStyle w:val="Heading1"/>
        <w:spacing w:after="60" w:before="100" w:lineRule="auto"/>
        <w:jc w:val="both"/>
        <w:rPr>
          <w:sz w:val="24"/>
          <w:szCs w:val="24"/>
        </w:rPr>
      </w:pPr>
      <w:r w:rsidDel="00000000" w:rsidR="00000000" w:rsidRPr="00000000">
        <w:rPr>
          <w:sz w:val="24"/>
          <w:szCs w:val="24"/>
          <w:rtl w:val="0"/>
        </w:rPr>
        <w:t xml:space="preserve">9. Облік, простежуваність та доступ до інформації щодо залишків</w:t>
      </w:r>
    </w:p>
    <w:p w:rsidR="00000000" w:rsidDel="00000000" w:rsidP="00000000" w:rsidRDefault="00000000" w:rsidRPr="00000000" w14:paraId="00000059">
      <w:pPr>
        <w:spacing w:after="60" w:line="250" w:lineRule="auto"/>
        <w:jc w:val="both"/>
        <w:rPr>
          <w:sz w:val="24"/>
          <w:szCs w:val="24"/>
        </w:rPr>
      </w:pPr>
      <w:r w:rsidDel="00000000" w:rsidR="00000000" w:rsidRPr="00000000">
        <w:rPr>
          <w:sz w:val="24"/>
          <w:szCs w:val="24"/>
          <w:rtl w:val="0"/>
        </w:rPr>
        <w:t xml:space="preserve">Виконавець забезпечує належний облік, простежуваність та внутрішній контроль Вантажу протягом усього періоду зберігання та підготовки до розподілу.</w:t>
      </w:r>
    </w:p>
    <w:p w:rsidR="00000000" w:rsidDel="00000000" w:rsidP="00000000" w:rsidRDefault="00000000" w:rsidRPr="00000000" w14:paraId="0000005A">
      <w:pPr>
        <w:spacing w:after="60" w:line="250" w:lineRule="auto"/>
        <w:jc w:val="both"/>
        <w:rPr>
          <w:sz w:val="24"/>
          <w:szCs w:val="24"/>
        </w:rPr>
      </w:pPr>
      <w:r w:rsidDel="00000000" w:rsidR="00000000" w:rsidRPr="00000000">
        <w:rPr>
          <w:sz w:val="24"/>
          <w:szCs w:val="24"/>
          <w:rtl w:val="0"/>
        </w:rPr>
        <w:t xml:space="preserve">Виконавець повинен забезпечити можливість регулярного доступу Замовника до актуальної інформації щодо залишків Вантажу, руху Вантажу, партій/серій, строків придатності, статусів карантину та статусів зберігання. Такий доступ може забезпечуватися через інтеграцію або синхронізацію систем обліку, кабінет клієнта, регулярні звіти або інший погоджений механізм. Перевагою є можливість оновлення даних у режимі реального часу або близькому до реального часу.</w:t>
      </w:r>
    </w:p>
    <w:p w:rsidR="00000000" w:rsidDel="00000000" w:rsidP="00000000" w:rsidRDefault="00000000" w:rsidRPr="00000000" w14:paraId="0000005B">
      <w:pPr>
        <w:spacing w:after="60" w:line="250" w:lineRule="auto"/>
        <w:jc w:val="both"/>
        <w:rPr>
          <w:sz w:val="24"/>
          <w:szCs w:val="24"/>
        </w:rPr>
      </w:pPr>
      <w:r w:rsidDel="00000000" w:rsidR="00000000" w:rsidRPr="00000000">
        <w:rPr>
          <w:sz w:val="24"/>
          <w:szCs w:val="24"/>
          <w:rtl w:val="0"/>
        </w:rPr>
        <w:t xml:space="preserve">Виконавець повинен мати можливість формувати звіти за параметрами, погодженими із Замовником, включно з найменуванням товару, кількістю, партією/серією, строком придатності, температурним режимом, статусом карантину, датами приймання і відвантаження, проєктним кодом та іншими релевантними даними, якщо такі дані передані Замовником або містяться в товаросупровідних документах.</w:t>
      </w:r>
    </w:p>
    <w:p w:rsidR="00000000" w:rsidDel="00000000" w:rsidP="00000000" w:rsidRDefault="00000000" w:rsidRPr="00000000" w14:paraId="0000005C">
      <w:pPr>
        <w:pStyle w:val="Heading1"/>
        <w:spacing w:after="60" w:before="100" w:lineRule="auto"/>
        <w:jc w:val="both"/>
        <w:rPr>
          <w:sz w:val="24"/>
          <w:szCs w:val="24"/>
        </w:rPr>
      </w:pPr>
      <w:r w:rsidDel="00000000" w:rsidR="00000000" w:rsidRPr="00000000">
        <w:rPr>
          <w:sz w:val="24"/>
          <w:szCs w:val="24"/>
          <w:rtl w:val="0"/>
        </w:rPr>
        <w:t xml:space="preserve">10. Страхування та відповідальність</w:t>
      </w:r>
    </w:p>
    <w:p w:rsidR="00000000" w:rsidDel="00000000" w:rsidP="00000000" w:rsidRDefault="00000000" w:rsidRPr="00000000" w14:paraId="0000005D">
      <w:pPr>
        <w:spacing w:after="60" w:line="250" w:lineRule="auto"/>
        <w:jc w:val="both"/>
        <w:rPr>
          <w:sz w:val="24"/>
          <w:szCs w:val="24"/>
        </w:rPr>
      </w:pPr>
      <w:r w:rsidDel="00000000" w:rsidR="00000000" w:rsidRPr="00000000">
        <w:rPr>
          <w:sz w:val="24"/>
          <w:szCs w:val="24"/>
          <w:rtl w:val="0"/>
        </w:rPr>
        <w:t xml:space="preserve">Виконавець повинен зазначити, чи включене страхування Вантажу на період зберігання у вартість послуг. Якщо страхування не включене або залежить від вартості Вантажу, учасник повинен окремо зазначити механізм страхування, ставку або формулу розрахунку, ліміти відповідальності, винятки, зокрема щодо воєнних ризиків, і можливість надання страхового сертифіката або іншого підтверджувального документа.</w:t>
      </w:r>
    </w:p>
    <w:p w:rsidR="00000000" w:rsidDel="00000000" w:rsidP="00000000" w:rsidRDefault="00000000" w:rsidRPr="00000000" w14:paraId="0000005E">
      <w:pPr>
        <w:spacing w:after="60" w:line="250" w:lineRule="auto"/>
        <w:jc w:val="both"/>
        <w:rPr>
          <w:sz w:val="24"/>
          <w:szCs w:val="24"/>
        </w:rPr>
      </w:pPr>
      <w:r w:rsidDel="00000000" w:rsidR="00000000" w:rsidRPr="00000000">
        <w:rPr>
          <w:sz w:val="24"/>
          <w:szCs w:val="24"/>
          <w:rtl w:val="0"/>
        </w:rPr>
        <w:t xml:space="preserve">Умови страхування, межі відповідальності за втрату, пошкодження, псування, порушення температурного режиму або неналежне зберігання Вантажу визначаються договором.</w:t>
      </w:r>
    </w:p>
    <w:p w:rsidR="00000000" w:rsidDel="00000000" w:rsidP="00000000" w:rsidRDefault="00000000" w:rsidRPr="00000000" w14:paraId="0000005F">
      <w:pPr>
        <w:pStyle w:val="Heading1"/>
        <w:spacing w:after="60" w:before="100" w:lineRule="auto"/>
        <w:jc w:val="both"/>
        <w:rPr>
          <w:sz w:val="24"/>
          <w:szCs w:val="24"/>
        </w:rPr>
      </w:pPr>
      <w:r w:rsidDel="00000000" w:rsidR="00000000" w:rsidRPr="00000000">
        <w:rPr>
          <w:sz w:val="24"/>
          <w:szCs w:val="24"/>
          <w:rtl w:val="0"/>
        </w:rPr>
        <w:t xml:space="preserve">11. Документація та звітність</w:t>
      </w:r>
    </w:p>
    <w:p w:rsidR="00000000" w:rsidDel="00000000" w:rsidP="00000000" w:rsidRDefault="00000000" w:rsidRPr="00000000" w14:paraId="00000060">
      <w:pPr>
        <w:spacing w:after="60" w:line="250" w:lineRule="auto"/>
        <w:jc w:val="both"/>
        <w:rPr>
          <w:sz w:val="24"/>
          <w:szCs w:val="24"/>
        </w:rPr>
      </w:pPr>
      <w:r w:rsidDel="00000000" w:rsidR="00000000" w:rsidRPr="00000000">
        <w:rPr>
          <w:sz w:val="24"/>
          <w:szCs w:val="24"/>
          <w:rtl w:val="0"/>
        </w:rPr>
        <w:t xml:space="preserve">Виконавець забезпечує ведення належної документації щодо операцій з Вантажем та надає її Замовнику на вимогу або у строки, погоджені сторонами. Орієнтовний перелік документів включає:</w:t>
      </w:r>
    </w:p>
    <w:p w:rsidR="00000000" w:rsidDel="00000000" w:rsidP="00000000" w:rsidRDefault="00000000" w:rsidRPr="00000000" w14:paraId="00000061">
      <w:pPr>
        <w:spacing w:after="40" w:lineRule="auto"/>
        <w:ind w:left="312" w:hanging="198"/>
        <w:jc w:val="both"/>
        <w:rPr>
          <w:sz w:val="24"/>
          <w:szCs w:val="24"/>
        </w:rPr>
      </w:pPr>
      <w:r w:rsidDel="00000000" w:rsidR="00000000" w:rsidRPr="00000000">
        <w:rPr>
          <w:sz w:val="24"/>
          <w:szCs w:val="24"/>
          <w:rtl w:val="0"/>
        </w:rPr>
        <w:t xml:space="preserve">• звіт або акт приймання Вантажу;</w:t>
      </w:r>
    </w:p>
    <w:p w:rsidR="00000000" w:rsidDel="00000000" w:rsidP="00000000" w:rsidRDefault="00000000" w:rsidRPr="00000000" w14:paraId="00000062">
      <w:pPr>
        <w:spacing w:after="40" w:lineRule="auto"/>
        <w:ind w:left="312" w:hanging="198"/>
        <w:jc w:val="both"/>
        <w:rPr>
          <w:sz w:val="24"/>
          <w:szCs w:val="24"/>
        </w:rPr>
      </w:pPr>
      <w:r w:rsidDel="00000000" w:rsidR="00000000" w:rsidRPr="00000000">
        <w:rPr>
          <w:sz w:val="24"/>
          <w:szCs w:val="24"/>
          <w:rtl w:val="0"/>
        </w:rPr>
        <w:t xml:space="preserve">• акт або повідомлення про розбіжності, пошкодження чи нестачі, якщо такі виявлені;</w:t>
      </w:r>
    </w:p>
    <w:p w:rsidR="00000000" w:rsidDel="00000000" w:rsidP="00000000" w:rsidRDefault="00000000" w:rsidRPr="00000000" w14:paraId="00000063">
      <w:pPr>
        <w:spacing w:after="40" w:lineRule="auto"/>
        <w:ind w:left="312" w:hanging="198"/>
        <w:jc w:val="both"/>
        <w:rPr>
          <w:sz w:val="24"/>
          <w:szCs w:val="24"/>
        </w:rPr>
      </w:pPr>
      <w:r w:rsidDel="00000000" w:rsidR="00000000" w:rsidRPr="00000000">
        <w:rPr>
          <w:sz w:val="24"/>
          <w:szCs w:val="24"/>
          <w:rtl w:val="0"/>
        </w:rPr>
        <w:t xml:space="preserve">• складський звіт щодо залишків;</w:t>
      </w:r>
    </w:p>
    <w:p w:rsidR="00000000" w:rsidDel="00000000" w:rsidP="00000000" w:rsidRDefault="00000000" w:rsidRPr="00000000" w14:paraId="00000064">
      <w:pPr>
        <w:spacing w:after="40" w:lineRule="auto"/>
        <w:ind w:left="312" w:hanging="198"/>
        <w:jc w:val="both"/>
        <w:rPr>
          <w:sz w:val="24"/>
          <w:szCs w:val="24"/>
        </w:rPr>
      </w:pPr>
      <w:r w:rsidDel="00000000" w:rsidR="00000000" w:rsidRPr="00000000">
        <w:rPr>
          <w:sz w:val="24"/>
          <w:szCs w:val="24"/>
          <w:rtl w:val="0"/>
        </w:rPr>
        <w:t xml:space="preserve">• звіт про рух Вантажу;</w:t>
      </w:r>
    </w:p>
    <w:p w:rsidR="00000000" w:rsidDel="00000000" w:rsidP="00000000" w:rsidRDefault="00000000" w:rsidRPr="00000000" w14:paraId="00000065">
      <w:pPr>
        <w:spacing w:after="40" w:lineRule="auto"/>
        <w:ind w:left="312" w:hanging="198"/>
        <w:jc w:val="both"/>
        <w:rPr>
          <w:sz w:val="24"/>
          <w:szCs w:val="24"/>
        </w:rPr>
      </w:pPr>
      <w:r w:rsidDel="00000000" w:rsidR="00000000" w:rsidRPr="00000000">
        <w:rPr>
          <w:sz w:val="24"/>
          <w:szCs w:val="24"/>
          <w:rtl w:val="0"/>
        </w:rPr>
        <w:t xml:space="preserve">• звіт або акт за результатами вибіркової чи повної інвентаризації, якщо така проводиться;</w:t>
      </w:r>
    </w:p>
    <w:p w:rsidR="00000000" w:rsidDel="00000000" w:rsidP="00000000" w:rsidRDefault="00000000" w:rsidRPr="00000000" w14:paraId="00000066">
      <w:pPr>
        <w:spacing w:after="40" w:lineRule="auto"/>
        <w:ind w:left="312" w:hanging="198"/>
        <w:jc w:val="both"/>
        <w:rPr>
          <w:sz w:val="24"/>
          <w:szCs w:val="24"/>
        </w:rPr>
      </w:pPr>
      <w:r w:rsidDel="00000000" w:rsidR="00000000" w:rsidRPr="00000000">
        <w:rPr>
          <w:sz w:val="24"/>
          <w:szCs w:val="24"/>
          <w:rtl w:val="0"/>
        </w:rPr>
        <w:t xml:space="preserve">• документи щодо карантинних процедур та вхідного контролю якості, якщо застосовно;</w:t>
      </w:r>
    </w:p>
    <w:p w:rsidR="00000000" w:rsidDel="00000000" w:rsidP="00000000" w:rsidRDefault="00000000" w:rsidRPr="00000000" w14:paraId="00000067">
      <w:pPr>
        <w:spacing w:after="40" w:lineRule="auto"/>
        <w:ind w:left="312" w:hanging="198"/>
        <w:jc w:val="both"/>
        <w:rPr>
          <w:sz w:val="24"/>
          <w:szCs w:val="24"/>
        </w:rPr>
      </w:pPr>
      <w:r w:rsidDel="00000000" w:rsidR="00000000" w:rsidRPr="00000000">
        <w:rPr>
          <w:sz w:val="24"/>
          <w:szCs w:val="24"/>
          <w:rtl w:val="0"/>
        </w:rPr>
        <w:t xml:space="preserve">• температурні логи або інші записи контролю умов зберігання, якщо застосовно;</w:t>
      </w:r>
    </w:p>
    <w:p w:rsidR="00000000" w:rsidDel="00000000" w:rsidP="00000000" w:rsidRDefault="00000000" w:rsidRPr="00000000" w14:paraId="00000068">
      <w:pPr>
        <w:spacing w:after="40" w:lineRule="auto"/>
        <w:ind w:left="312" w:hanging="198"/>
        <w:jc w:val="both"/>
        <w:rPr>
          <w:sz w:val="24"/>
          <w:szCs w:val="24"/>
        </w:rPr>
      </w:pPr>
      <w:r w:rsidDel="00000000" w:rsidR="00000000" w:rsidRPr="00000000">
        <w:rPr>
          <w:sz w:val="24"/>
          <w:szCs w:val="24"/>
          <w:rtl w:val="0"/>
        </w:rPr>
        <w:t xml:space="preserve">• документи щодо сортування, перепакування, маркування та формування партій;</w:t>
      </w:r>
    </w:p>
    <w:p w:rsidR="00000000" w:rsidDel="00000000" w:rsidP="00000000" w:rsidRDefault="00000000" w:rsidRPr="00000000" w14:paraId="00000069">
      <w:pPr>
        <w:spacing w:after="40" w:lineRule="auto"/>
        <w:ind w:left="312" w:hanging="198"/>
        <w:jc w:val="both"/>
        <w:rPr>
          <w:sz w:val="24"/>
          <w:szCs w:val="24"/>
        </w:rPr>
      </w:pPr>
      <w:r w:rsidDel="00000000" w:rsidR="00000000" w:rsidRPr="00000000">
        <w:rPr>
          <w:sz w:val="24"/>
          <w:szCs w:val="24"/>
          <w:rtl w:val="0"/>
        </w:rPr>
        <w:t xml:space="preserve">• документи щодо відвантаження Вантажу;</w:t>
      </w:r>
    </w:p>
    <w:p w:rsidR="00000000" w:rsidDel="00000000" w:rsidP="00000000" w:rsidRDefault="00000000" w:rsidRPr="00000000" w14:paraId="0000006A">
      <w:pPr>
        <w:spacing w:after="40" w:lineRule="auto"/>
        <w:ind w:left="312" w:hanging="198"/>
        <w:jc w:val="both"/>
        <w:rPr>
          <w:sz w:val="24"/>
          <w:szCs w:val="24"/>
        </w:rPr>
      </w:pPr>
      <w:r w:rsidDel="00000000" w:rsidR="00000000" w:rsidRPr="00000000">
        <w:rPr>
          <w:sz w:val="24"/>
          <w:szCs w:val="24"/>
          <w:rtl w:val="0"/>
        </w:rPr>
        <w:t xml:space="preserve">• акт наданих послуг, рахунок та інші первинні документи відповідно до законодавства України;</w:t>
      </w:r>
    </w:p>
    <w:p w:rsidR="00000000" w:rsidDel="00000000" w:rsidP="00000000" w:rsidRDefault="00000000" w:rsidRPr="00000000" w14:paraId="0000006B">
      <w:pPr>
        <w:spacing w:after="40" w:lineRule="auto"/>
        <w:ind w:left="312" w:hanging="198"/>
        <w:jc w:val="both"/>
        <w:rPr>
          <w:sz w:val="24"/>
          <w:szCs w:val="24"/>
        </w:rPr>
      </w:pPr>
      <w:r w:rsidDel="00000000" w:rsidR="00000000" w:rsidRPr="00000000">
        <w:rPr>
          <w:sz w:val="24"/>
          <w:szCs w:val="24"/>
          <w:rtl w:val="0"/>
        </w:rPr>
        <w:t xml:space="preserve">• інші документи, передбачені договором або погоджені сторонами.</w:t>
      </w:r>
    </w:p>
    <w:p w:rsidR="00000000" w:rsidDel="00000000" w:rsidP="00000000" w:rsidRDefault="00000000" w:rsidRPr="00000000" w14:paraId="0000006C">
      <w:pPr>
        <w:pStyle w:val="Heading1"/>
        <w:spacing w:after="60" w:before="100" w:lineRule="auto"/>
        <w:jc w:val="both"/>
        <w:rPr>
          <w:sz w:val="24"/>
          <w:szCs w:val="24"/>
        </w:rPr>
      </w:pPr>
      <w:r w:rsidDel="00000000" w:rsidR="00000000" w:rsidRPr="00000000">
        <w:rPr>
          <w:sz w:val="24"/>
          <w:szCs w:val="24"/>
          <w:rtl w:val="0"/>
        </w:rPr>
        <w:t xml:space="preserve">12. Формат цінової пропозиції та оцінювальний сценарій</w:t>
      </w:r>
    </w:p>
    <w:p w:rsidR="00000000" w:rsidDel="00000000" w:rsidP="00000000" w:rsidRDefault="00000000" w:rsidRPr="00000000" w14:paraId="0000006D">
      <w:pPr>
        <w:spacing w:after="60" w:line="250" w:lineRule="auto"/>
        <w:jc w:val="both"/>
        <w:rPr>
          <w:sz w:val="24"/>
          <w:szCs w:val="24"/>
        </w:rPr>
      </w:pPr>
      <w:r w:rsidDel="00000000" w:rsidR="00000000" w:rsidRPr="00000000">
        <w:rPr>
          <w:sz w:val="24"/>
          <w:szCs w:val="24"/>
          <w:rtl w:val="0"/>
        </w:rPr>
        <w:t xml:space="preserve">З огляду на те, що ринок складських фармацевтичних послуг зазвичай формує ціни за одиничними тарифами, учасник повинен надати як деталізовані тарифи, так і загальну розрахункову вартість для оцінки згідно з Додатком 2.</w:t>
      </w:r>
    </w:p>
    <w:p w:rsidR="00000000" w:rsidDel="00000000" w:rsidP="00000000" w:rsidRDefault="00000000" w:rsidRPr="00000000" w14:paraId="0000006E">
      <w:pPr>
        <w:spacing w:after="60" w:line="250" w:lineRule="auto"/>
        <w:jc w:val="both"/>
        <w:rPr>
          <w:sz w:val="24"/>
          <w:szCs w:val="24"/>
        </w:rPr>
      </w:pPr>
      <w:r w:rsidDel="00000000" w:rsidR="00000000" w:rsidRPr="00000000">
        <w:rPr>
          <w:sz w:val="24"/>
          <w:szCs w:val="24"/>
          <w:rtl w:val="0"/>
        </w:rPr>
        <w:t xml:space="preserve">Для порівнюваності пропозицій застосовується оцінювальний сценарій: </w:t>
      </w:r>
      <w:r w:rsidDel="00000000" w:rsidR="00000000" w:rsidRPr="00000000">
        <w:rPr>
          <w:sz w:val="24"/>
          <w:szCs w:val="24"/>
          <w:rtl w:val="0"/>
        </w:rPr>
        <w:t xml:space="preserve">33 палети, 2 вхідні поставки, 30 календарних днів зберігання, 5 запитів на відвантаження, підготовка Вантажу до відвантаження протягом не більше 3 календарних днів, ведення обліку залишків, звітність і страхування або окремий опис формули страхування. Фактична оплата за договором може здійснюватися за погодженими тарифами і фактично наданими послугами.</w:t>
      </w:r>
      <w:r w:rsidDel="00000000" w:rsidR="00000000" w:rsidRPr="00000000">
        <w:rPr>
          <w:rtl w:val="0"/>
        </w:rPr>
      </w:r>
    </w:p>
    <w:p w:rsidR="00000000" w:rsidDel="00000000" w:rsidP="00000000" w:rsidRDefault="00000000" w:rsidRPr="00000000" w14:paraId="0000006F">
      <w:pPr>
        <w:pStyle w:val="Heading1"/>
        <w:spacing w:after="60" w:before="100" w:lineRule="auto"/>
        <w:jc w:val="both"/>
        <w:rPr>
          <w:sz w:val="24"/>
          <w:szCs w:val="24"/>
        </w:rPr>
      </w:pPr>
      <w:r w:rsidDel="00000000" w:rsidR="00000000" w:rsidRPr="00000000">
        <w:rPr>
          <w:sz w:val="24"/>
          <w:szCs w:val="24"/>
          <w:rtl w:val="0"/>
        </w:rPr>
        <w:t xml:space="preserve">13. Принцип еквівалентності та недискримінаційності</w:t>
      </w:r>
    </w:p>
    <w:p w:rsidR="00000000" w:rsidDel="00000000" w:rsidP="00000000" w:rsidRDefault="00000000" w:rsidRPr="00000000" w14:paraId="00000070">
      <w:pPr>
        <w:spacing w:after="60" w:line="250" w:lineRule="auto"/>
        <w:jc w:val="both"/>
        <w:rPr>
          <w:sz w:val="24"/>
          <w:szCs w:val="24"/>
        </w:rPr>
      </w:pPr>
      <w:r w:rsidDel="00000000" w:rsidR="00000000" w:rsidRPr="00000000">
        <w:rPr>
          <w:sz w:val="24"/>
          <w:szCs w:val="24"/>
          <w:rtl w:val="0"/>
        </w:rPr>
        <w:t xml:space="preserve">Усі вимоги цього Технічного завдання є мінімальними та функціональними. Допускаються еквівалентні організаційні або технічні рішення, що не є гіршими за сукупністю технічних, функціональних, фармацевтичних та операційних характеристик і забезпечують належне виконання потреб Замовника.</w:t>
      </w:r>
    </w:p>
    <w:p w:rsidR="00000000" w:rsidDel="00000000" w:rsidP="00000000" w:rsidRDefault="00000000" w:rsidRPr="00000000" w14:paraId="00000071">
      <w:pPr>
        <w:spacing w:after="60" w:line="250" w:lineRule="auto"/>
        <w:jc w:val="both"/>
        <w:rPr>
          <w:sz w:val="24"/>
          <w:szCs w:val="24"/>
        </w:rPr>
      </w:pPr>
      <w:r w:rsidDel="00000000" w:rsidR="00000000" w:rsidRPr="00000000">
        <w:rPr>
          <w:sz w:val="24"/>
          <w:szCs w:val="24"/>
          <w:rtl w:val="0"/>
        </w:rPr>
        <w:t xml:space="preserve">Вимоги щодо систем обліку не означають обов’язкову наявність конкретного програмного забезпечення або конкретного способу інтеграції. Важливим є забезпечення актуальної, достовірної та доступної для Замовника інформації щодо залишків і руху Вантажу.</w:t>
      </w:r>
    </w:p>
    <w:p w:rsidR="00000000" w:rsidDel="00000000" w:rsidP="00000000" w:rsidRDefault="00000000" w:rsidRPr="00000000" w14:paraId="00000072">
      <w:pPr>
        <w:pStyle w:val="Heading1"/>
        <w:spacing w:after="60" w:before="100" w:lineRule="auto"/>
        <w:jc w:val="both"/>
        <w:rPr>
          <w:sz w:val="24"/>
          <w:szCs w:val="24"/>
        </w:rPr>
      </w:pPr>
      <w:r w:rsidDel="00000000" w:rsidR="00000000" w:rsidRPr="00000000">
        <w:rPr>
          <w:sz w:val="24"/>
          <w:szCs w:val="24"/>
          <w:rtl w:val="0"/>
        </w:rPr>
        <w:t xml:space="preserve">14. Примітка</w:t>
      </w:r>
    </w:p>
    <w:p w:rsidR="00000000" w:rsidDel="00000000" w:rsidP="00000000" w:rsidRDefault="00000000" w:rsidRPr="00000000" w14:paraId="00000073">
      <w:pPr>
        <w:spacing w:after="60" w:line="250" w:lineRule="auto"/>
        <w:jc w:val="both"/>
        <w:rPr>
          <w:sz w:val="24"/>
          <w:szCs w:val="24"/>
        </w:rPr>
      </w:pPr>
      <w:r w:rsidDel="00000000" w:rsidR="00000000" w:rsidRPr="00000000">
        <w:rPr>
          <w:sz w:val="24"/>
          <w:szCs w:val="24"/>
          <w:rtl w:val="0"/>
        </w:rPr>
        <w:t xml:space="preserve">Невідповідність хоча б одній з обов’язкових мінімальних вимог цього Технічного завдання може бути підставою для відхилення комерційної пропозиції як такої, що не відповідає умовам закупівлі.</w:t>
      </w:r>
    </w:p>
    <w:p w:rsidR="00000000" w:rsidDel="00000000" w:rsidP="00000000" w:rsidRDefault="00000000" w:rsidRPr="00000000" w14:paraId="00000074">
      <w:pPr>
        <w:spacing w:after="60" w:line="250" w:lineRule="auto"/>
        <w:jc w:val="both"/>
        <w:rPr>
          <w:sz w:val="24"/>
          <w:szCs w:val="24"/>
        </w:rPr>
      </w:pPr>
      <w:r w:rsidDel="00000000" w:rsidR="00000000" w:rsidRPr="00000000">
        <w:rPr>
          <w:sz w:val="24"/>
          <w:szCs w:val="24"/>
          <w:rtl w:val="0"/>
        </w:rPr>
        <w:t xml:space="preserve">Несуттєві формальні неточності в описі або документах, які не впливають на зміст пропозиції, ціну або можливість її оцінки, можуть бути уточнені Замовником у робочому порядку.</w:t>
      </w:r>
    </w:p>
    <w:p w:rsidR="00000000" w:rsidDel="00000000" w:rsidP="00000000" w:rsidRDefault="00000000" w:rsidRPr="00000000" w14:paraId="00000075">
      <w:pPr>
        <w:pStyle w:val="Heading1"/>
        <w:spacing w:after="60" w:before="100" w:lineRule="auto"/>
        <w:jc w:val="both"/>
        <w:rPr>
          <w:sz w:val="24"/>
          <w:szCs w:val="24"/>
        </w:rPr>
      </w:pPr>
      <w:r w:rsidDel="00000000" w:rsidR="00000000" w:rsidRPr="00000000">
        <w:rPr>
          <w:sz w:val="24"/>
          <w:szCs w:val="24"/>
          <w:rtl w:val="0"/>
        </w:rPr>
        <w:t xml:space="preserve">15. Контактна інформація та подання пропозицій</w:t>
      </w:r>
    </w:p>
    <w:p w:rsidR="00000000" w:rsidDel="00000000" w:rsidP="00000000" w:rsidRDefault="00000000" w:rsidRPr="00000000" w14:paraId="00000076">
      <w:pPr>
        <w:spacing w:after="60" w:line="250" w:lineRule="auto"/>
        <w:jc w:val="both"/>
        <w:rPr>
          <w:sz w:val="24"/>
          <w:szCs w:val="24"/>
        </w:rPr>
      </w:pPr>
      <w:r w:rsidDel="00000000" w:rsidR="00000000" w:rsidRPr="00000000">
        <w:rPr>
          <w:sz w:val="24"/>
          <w:szCs w:val="24"/>
          <w:rtl w:val="0"/>
        </w:rPr>
        <w:t xml:space="preserve">Кінцевий строк подання комерційних пропозицій: 08 травня 2026 року, 18:00, за київським часом.</w:t>
      </w:r>
    </w:p>
    <w:p w:rsidR="00000000" w:rsidDel="00000000" w:rsidP="00000000" w:rsidRDefault="00000000" w:rsidRPr="00000000" w14:paraId="00000077">
      <w:pPr>
        <w:spacing w:after="60" w:line="250" w:lineRule="auto"/>
        <w:jc w:val="both"/>
        <w:rPr>
          <w:sz w:val="24"/>
          <w:szCs w:val="24"/>
        </w:rPr>
      </w:pPr>
      <w:r w:rsidDel="00000000" w:rsidR="00000000" w:rsidRPr="00000000">
        <w:rPr>
          <w:sz w:val="24"/>
          <w:szCs w:val="24"/>
          <w:rtl w:val="0"/>
        </w:rPr>
        <w:t xml:space="preserve">Email для подання пропозицій: procurement@missionkharkiv.org.</w:t>
      </w:r>
    </w:p>
    <w:p w:rsidR="00000000" w:rsidDel="00000000" w:rsidP="00000000" w:rsidRDefault="00000000" w:rsidRPr="00000000" w14:paraId="00000078">
      <w:pPr>
        <w:spacing w:after="60" w:line="250" w:lineRule="auto"/>
        <w:jc w:val="both"/>
        <w:rPr>
          <w:sz w:val="24"/>
          <w:szCs w:val="24"/>
        </w:rPr>
      </w:pPr>
      <w:r w:rsidDel="00000000" w:rsidR="00000000" w:rsidRPr="00000000">
        <w:rPr>
          <w:sz w:val="24"/>
          <w:szCs w:val="24"/>
          <w:rtl w:val="0"/>
        </w:rPr>
        <w:t xml:space="preserve">Контактний підрозділ: Відділ закупівлі і логістики, Благодійна організація «Благодійний фонд «Місія Харків».</w:t>
      </w:r>
    </w:p>
    <w:p w:rsidR="00000000" w:rsidDel="00000000" w:rsidP="00000000" w:rsidRDefault="00000000" w:rsidRPr="00000000" w14:paraId="00000079">
      <w:pPr>
        <w:spacing w:after="60" w:line="250" w:lineRule="auto"/>
        <w:jc w:val="both"/>
        <w:rPr>
          <w:sz w:val="24"/>
          <w:szCs w:val="24"/>
        </w:rPr>
      </w:pPr>
      <w:r w:rsidDel="00000000" w:rsidR="00000000" w:rsidRPr="00000000">
        <w:rPr>
          <w:sz w:val="24"/>
          <w:szCs w:val="24"/>
          <w:rtl w:val="0"/>
        </w:rPr>
        <w:t xml:space="preserve">Телефон: +380 97 671 82 41.</w:t>
      </w:r>
    </w:p>
    <w:p w:rsidR="00000000" w:rsidDel="00000000" w:rsidP="00000000" w:rsidRDefault="00000000" w:rsidRPr="00000000" w14:paraId="0000007A">
      <w:pPr>
        <w:jc w:val="both"/>
        <w:rPr>
          <w:sz w:val="24"/>
          <w:szCs w:val="24"/>
        </w:rPr>
      </w:pPr>
      <w:r w:rsidDel="00000000" w:rsidR="00000000" w:rsidRPr="00000000">
        <w:rPr>
          <w:rtl w:val="0"/>
        </w:rPr>
      </w:r>
    </w:p>
    <w:p w:rsidR="00000000" w:rsidDel="00000000" w:rsidP="00000000" w:rsidRDefault="00000000" w:rsidRPr="00000000" w14:paraId="0000007B">
      <w:pPr>
        <w:spacing w:after="60" w:line="250" w:lineRule="auto"/>
        <w:jc w:val="both"/>
        <w:rPr>
          <w:sz w:val="24"/>
          <w:szCs w:val="24"/>
        </w:rPr>
      </w:pPr>
      <w:r w:rsidDel="00000000" w:rsidR="00000000" w:rsidRPr="00000000">
        <w:rPr>
          <w:sz w:val="24"/>
          <w:szCs w:val="24"/>
          <w:rtl w:val="0"/>
        </w:rPr>
        <w:t xml:space="preserve">Підпис уповноваженої особи: ____________________</w:t>
      </w:r>
    </w:p>
    <w:p w:rsidR="00000000" w:rsidDel="00000000" w:rsidP="00000000" w:rsidRDefault="00000000" w:rsidRPr="00000000" w14:paraId="0000007C">
      <w:pPr>
        <w:spacing w:after="60" w:line="250" w:lineRule="auto"/>
        <w:jc w:val="both"/>
        <w:rPr>
          <w:sz w:val="24"/>
          <w:szCs w:val="24"/>
        </w:rPr>
      </w:pPr>
      <w:r w:rsidDel="00000000" w:rsidR="00000000" w:rsidRPr="00000000">
        <w:rPr>
          <w:sz w:val="24"/>
          <w:szCs w:val="24"/>
          <w:rtl w:val="0"/>
        </w:rPr>
        <w:t xml:space="preserve">ПІБ: ____________________</w:t>
      </w:r>
    </w:p>
    <w:p w:rsidR="00000000" w:rsidDel="00000000" w:rsidP="00000000" w:rsidRDefault="00000000" w:rsidRPr="00000000" w14:paraId="0000007D">
      <w:pPr>
        <w:spacing w:after="60" w:line="250" w:lineRule="auto"/>
        <w:jc w:val="both"/>
        <w:rPr>
          <w:sz w:val="24"/>
          <w:szCs w:val="24"/>
        </w:rPr>
      </w:pPr>
      <w:r w:rsidDel="00000000" w:rsidR="00000000" w:rsidRPr="00000000">
        <w:rPr>
          <w:sz w:val="24"/>
          <w:szCs w:val="24"/>
          <w:rtl w:val="0"/>
        </w:rPr>
        <w:t xml:space="preserve">Посада: ____________________</w:t>
      </w:r>
    </w:p>
    <w:p w:rsidR="00000000" w:rsidDel="00000000" w:rsidP="00000000" w:rsidRDefault="00000000" w:rsidRPr="00000000" w14:paraId="0000007E">
      <w:pPr>
        <w:spacing w:after="60" w:line="250" w:lineRule="auto"/>
        <w:jc w:val="both"/>
        <w:rPr>
          <w:sz w:val="24"/>
          <w:szCs w:val="24"/>
        </w:rPr>
      </w:pPr>
      <w:r w:rsidDel="00000000" w:rsidR="00000000" w:rsidRPr="00000000">
        <w:rPr>
          <w:sz w:val="24"/>
          <w:szCs w:val="24"/>
          <w:rtl w:val="0"/>
        </w:rPr>
        <w:t xml:space="preserve">Дата: 01 травня 2026 року</w:t>
      </w:r>
    </w:p>
    <w:sectPr>
      <w:headerReference r:id="rId7" w:type="default"/>
      <w:footerReference r:id="rId8" w:type="default"/>
      <w:pgSz w:h="15840" w:w="12240" w:orient="portrait"/>
      <w:pgMar w:bottom="822" w:top="822" w:left="992"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tabs>
        <w:tab w:val="center" w:leader="none" w:pos="4680"/>
        <w:tab w:val="right" w:leader="none" w:pos="9360"/>
        <w:tab w:val="left" w:leader="none" w:pos="7271"/>
      </w:tabs>
      <w:spacing w:after="0" w:line="240" w:lineRule="auto"/>
      <w:ind w:left="-567" w:firstLine="0"/>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4743450</wp:posOffset>
          </wp:positionH>
          <wp:positionV relativeFrom="paragraph">
            <wp:posOffset>0</wp:posOffset>
          </wp:positionV>
          <wp:extent cx="1676400" cy="426720"/>
          <wp:effectExtent b="0" l="0" r="0" t="0"/>
          <wp:wrapTopAndBottom distB="0" distT="0"/>
          <wp:docPr descr="A black background with a black square&#10;&#10;AI-generated content may be incorrect." id="2" name="image3.png"/>
          <a:graphic>
            <a:graphicData uri="http://schemas.openxmlformats.org/drawingml/2006/picture">
              <pic:pic>
                <pic:nvPicPr>
                  <pic:cNvPr descr="A black background with a black square&#10;&#10;AI-generated content may be incorrect." id="0" name="image3.png"/>
                  <pic:cNvPicPr preferRelativeResize="0"/>
                </pic:nvPicPr>
                <pic:blipFill>
                  <a:blip r:embed="rId1"/>
                  <a:srcRect b="0" l="0" r="0" t="0"/>
                  <a:stretch>
                    <a:fillRect/>
                  </a:stretch>
                </pic:blipFill>
                <pic:spPr>
                  <a:xfrm>
                    <a:off x="0" y="0"/>
                    <a:ext cx="1676400" cy="4267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-342897</wp:posOffset>
          </wp:positionH>
          <wp:positionV relativeFrom="paragraph">
            <wp:posOffset>19050</wp:posOffset>
          </wp:positionV>
          <wp:extent cx="1600203" cy="426721"/>
          <wp:effectExtent b="0" l="0" r="0" t="0"/>
          <wp:wrapTopAndBottom distB="0" distT="0"/>
          <wp:docPr descr="A black background with a black square&#10;&#10;AI-generated content may be incorrect." id="1" name="image2.png"/>
          <a:graphic>
            <a:graphicData uri="http://schemas.openxmlformats.org/drawingml/2006/picture">
              <pic:pic>
                <pic:nvPicPr>
                  <pic:cNvPr descr="A black background with a black square&#10;&#10;AI-generated content may be incorrect." id="0" name="image2.png"/>
                  <pic:cNvPicPr preferRelativeResize="0"/>
                </pic:nvPicPr>
                <pic:blipFill>
                  <a:blip r:embed="rId2"/>
                  <a:srcRect b="0" l="0" r="0" t="0"/>
                  <a:stretch>
                    <a:fillRect/>
                  </a:stretch>
                </pic:blipFill>
                <pic:spPr>
                  <a:xfrm>
                    <a:off x="0" y="0"/>
                    <a:ext cx="1600203" cy="426721"/>
                  </a:xfrm>
                  <a:prstGeom prst="rect"/>
                  <a:ln/>
                </pic:spPr>
              </pic:pic>
            </a:graphicData>
          </a:graphic>
        </wp:anchor>
      </w:drawing>
    </w:r>
  </w:p>
  <w:p w:rsidR="00000000" w:rsidDel="00000000" w:rsidP="00000000" w:rsidRDefault="00000000" w:rsidRPr="00000000" w14:paraId="00000081">
    <w:pPr>
      <w:jc w:val="left"/>
      <w:rPr>
        <w:color w:val="595959"/>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tabs>
        <w:tab w:val="center" w:leader="none" w:pos="4680"/>
        <w:tab w:val="right" w:leader="none" w:pos="9360"/>
      </w:tabs>
      <w:spacing w:after="0" w:line="240" w:lineRule="auto"/>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2"/>
        <w:szCs w:val="22"/>
      </w:rPr>
      <w:drawing>
        <wp:inline distB="114300" distT="114300" distL="114300" distR="114300">
          <wp:extent cx="2519363" cy="10060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19363" cy="1006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Arial" w:cs="Arial" w:eastAsia="Arial" w:hAnsi="Arial"/>
      <w:b w:val="1"/>
      <w:bCs w:val="1"/>
      <w:color w:val="000000"/>
      <w:sz w:val="25"/>
      <w:szCs w:val="25"/>
    </w:rPr>
  </w:style>
  <w:style w:type="paragraph" w:styleId="Heading2">
    <w:name w:val="heading 2"/>
    <w:basedOn w:val="Normal"/>
    <w:next w:val="Normal"/>
    <w:pPr>
      <w:keepNext w:val="1"/>
      <w:keepLines w:val="1"/>
      <w:spacing w:after="0" w:before="200" w:lineRule="auto"/>
    </w:pPr>
    <w:rPr>
      <w:rFonts w:ascii="Arial" w:cs="Arial" w:eastAsia="Arial" w:hAnsi="Arial"/>
      <w:b w:val="1"/>
      <w:bCs w:val="1"/>
      <w:color w:val="000000"/>
      <w:sz w:val="22"/>
      <w:szCs w:val="22"/>
    </w:rPr>
  </w:style>
  <w:style w:type="paragraph" w:styleId="Heading3">
    <w:name w:val="heading 3"/>
    <w:basedOn w:val="Normal"/>
    <w:next w:val="Normal"/>
    <w:pPr>
      <w:keepNext w:val="1"/>
      <w:keepLines w:val="1"/>
      <w:spacing w:after="0" w:before="200" w:lineRule="auto"/>
    </w:pPr>
    <w:rPr>
      <w:rFonts w:ascii="Arial" w:cs="Arial" w:eastAsia="Arial" w:hAnsi="Arial"/>
      <w:b w:val="1"/>
      <w:bCs w:val="1"/>
      <w:color w:val="000000"/>
      <w:sz w:val="20"/>
      <w:szCs w:val="20"/>
    </w:rPr>
  </w:style>
  <w:style w:type="paragraph" w:styleId="Heading4">
    <w:name w:val="heading 4"/>
    <w:basedOn w:val="Normal"/>
    <w:next w:val="Normal"/>
    <w:pPr>
      <w:keepNext w:val="1"/>
      <w:keepLines w:val="1"/>
      <w:spacing w:after="0" w:before="200" w:lineRule="auto"/>
    </w:pPr>
    <w:rPr>
      <w:rFonts w:ascii="Arial" w:cs="Arial" w:eastAsia="Arial" w:hAnsi="Arial"/>
      <w:b w:val="1"/>
      <w:bCs w:val="1"/>
      <w:i w:val="1"/>
      <w:iCs w:val="1"/>
      <w:color w:val="4f81bd"/>
    </w:rPr>
  </w:style>
  <w:style w:type="paragraph" w:styleId="Heading5">
    <w:name w:val="heading 5"/>
    <w:basedOn w:val="Normal"/>
    <w:next w:val="Normal"/>
    <w:pPr>
      <w:keepNext w:val="1"/>
      <w:keepLines w:val="1"/>
      <w:spacing w:after="0" w:before="200" w:lineRule="auto"/>
    </w:pPr>
    <w:rPr>
      <w:rFonts w:ascii="Arial" w:cs="Arial" w:eastAsia="Arial" w:hAnsi="Arial"/>
      <w:color w:val="243f61"/>
    </w:rPr>
  </w:style>
  <w:style w:type="paragraph" w:styleId="Heading6">
    <w:name w:val="heading 6"/>
    <w:basedOn w:val="Normal"/>
    <w:next w:val="Normal"/>
    <w:pPr>
      <w:keepNext w:val="1"/>
      <w:keepLines w:val="1"/>
      <w:spacing w:after="0" w:before="200" w:lineRule="auto"/>
    </w:pPr>
    <w:rPr>
      <w:rFonts w:ascii="Arial" w:cs="Arial" w:eastAsia="Arial" w:hAnsi="Arial"/>
      <w:i w:val="1"/>
      <w:iCs w:val="1"/>
      <w:color w:val="243f61"/>
    </w:rPr>
  </w:style>
  <w:style w:type="paragraph" w:styleId="Title">
    <w:name w:val="Title"/>
    <w:basedOn w:val="Normal"/>
    <w:next w:val="Normal"/>
    <w:pPr>
      <w:pBdr>
        <w:bottom w:color="4f81bd" w:space="4" w:sz="8" w:val="single"/>
      </w:pBdr>
      <w:spacing w:after="300" w:line="240" w:lineRule="auto"/>
    </w:pPr>
    <w:rPr>
      <w:rFonts w:ascii="Arial" w:cs="Arial" w:eastAsia="Arial" w:hAnsi="Arial"/>
      <w:color w:val="17365d"/>
      <w:sz w:val="52"/>
      <w:szCs w:val="52"/>
    </w:rPr>
  </w:style>
  <w:style w:type="paragraph" w:styleId="Subtitle">
    <w:name w:val="Subtitle"/>
    <w:basedOn w:val="Normal"/>
    <w:next w:val="Normal"/>
    <w:pPr/>
    <w:rPr>
      <w:rFonts w:ascii="Arial" w:cs="Arial" w:eastAsia="Arial" w:hAnsi="Arial"/>
      <w:i w:val="1"/>
      <w:iCs w:val="1"/>
      <w:color w:val="4f81bd"/>
      <w:sz w:val="24"/>
      <w:szCs w:val="24"/>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3v7ge6ccnAGNgGh6mlfxb72KA==">CgMxLjA4AGonChRzdWdnZXN0Lms5N3g0MTZ0bnZ6bRIPWXVsaXlhIFNoZXZjaHVraicKFHN1Z2dlc3QucGNramc3bnBtNjUzEg9ZdWxpeWEgU2hldmNodWtqJwoUc3VnZ2VzdC52eHNncGtmZmFrcWISD1l1bGl5YSBTaGV2Y2h1a2onChRzdWdnZXN0LnZyem04cjRzaWdrcBIPWXVsaXlhIFNoZXZjaHVraicKFHN1Z2dlc3Qubmxxa2d5NmpneTk1Eg9ZdWxpeWEgU2hldmNodWtqJwoUc3VnZ2VzdC5iZnlld3JtZHptanQSD1l1bGl5YSBTaGV2Y2h1a2onChRzdWdnZXN0LnNpbTVubHg0ZGJiZhIPWXVsaXlhIFNoZXZjaHVraicKFHN1Z2dlc3Qud3hzMjhuN3BxdWVyEg9ZdWxpeWEgU2hldmNodWtqJwoUc3VnZ2VzdC51cTNzb3BheHNlN3gSD1l1bGl5YSBTaGV2Y2h1a2onChRzdWdnZXN0Lmpjb3QyazR5ajkwcBIPWXVsaXlhIFNoZXZjaHVrciExY09kLWQ4U1FUZUFULV9qVngyRGdhdmxIQkNfaWFfN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