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00000001">
      <w:pPr>
        <w:pBdr/>
        <w:spacing w:after="240" w:before="60" w:line="276" w:lineRule="auto"/>
        <w:ind/>
        <w:jc w:val="center"/>
        <w:rPr>
          <w:rFonts w:ascii="Arial" w:hAnsi="Arial" w:eastAsia="Arial" w:cs="Arial"/>
          <w:b/>
          <w:bCs/>
          <w:sz w:val="20"/>
          <w:szCs w:val="20"/>
        </w:rPr>
      </w:pPr>
      <w:r>
        <w:rPr>
          <w:rFonts w:ascii="Arial" w:hAnsi="Arial" w:eastAsia="Arial" w:cs="Arial"/>
          <w:b/>
          <w:bCs/>
          <w:sz w:val="20"/>
          <w:szCs w:val="20"/>
          <w:rtl w:val="0"/>
        </w:rPr>
        <w:t xml:space="preserve">TERMS OF REFERENCE AND TECHNICAL SPECIFICATIONS</w:t>
      </w:r>
      <w:r>
        <w:rPr>
          <w:rFonts w:ascii="Arial" w:hAnsi="Arial" w:eastAsia="Arial" w:cs="Arial"/>
          <w:b/>
          <w:bCs/>
          <w:sz w:val="20"/>
          <w:szCs w:val="20"/>
        </w:rPr>
      </w:r>
      <w:r>
        <w:rPr>
          <w:rFonts w:ascii="Arial" w:hAnsi="Arial" w:eastAsia="Arial" w:cs="Arial"/>
          <w:b/>
          <w:bCs/>
          <w:sz w:val="20"/>
          <w:szCs w:val="20"/>
        </w:rPr>
      </w:r>
    </w:p>
    <w:tbl>
      <w:tblPr>
        <w:tblStyle w:val="1063"/>
        <w:tblInd w:w="70" w:type="dxa"/>
        <w:tblW w:w="90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903"/>
        <w:gridCol w:w="6169"/>
        <w:tblGridChange w:id="0">
          <w:tblGrid>
            <w:gridCol w:w="2903"/>
            <w:gridCol w:w="6169"/>
          </w:tblGrid>
        </w:tblGridChange>
      </w:tblGrid>
      <w:tr>
        <w:trPr>
          <w:cantSplit w:val="false"/>
          <w:trHeight w:val="283"/>
        </w:trPr>
        <w:tc>
          <w:tcPr>
            <w:shd w:val="clear" w:color="auto" w:fill="e6e6e6"/>
            <w:tcBorders/>
            <w:vAlign w:val="center"/>
            <w:textDirection w:val="lrTb"/>
            <w:noWrap w:val="false"/>
          </w:tcPr>
          <w:p w14:paraId="00000002">
            <w:pPr>
              <w:pBdr/>
              <w:spacing w:before="60" w:line="276" w:lineRule="auto"/>
              <w:ind/>
              <w:rPr>
                <w:rFonts w:ascii="Arial" w:hAnsi="Arial" w:eastAsia="Arial" w:cs="Arial"/>
                <w:sz w:val="20"/>
                <w:szCs w:val="20"/>
              </w:rPr>
            </w:pPr>
            <w:r>
              <w:rPr>
                <w:rFonts w:ascii="Arial" w:hAnsi="Arial" w:eastAsia="Arial" w:cs="Arial"/>
                <w:sz w:val="20"/>
                <w:szCs w:val="20"/>
                <w:rtl w:val="0"/>
              </w:rPr>
              <w:t xml:space="preserve">Assignment name</w:t>
            </w:r>
            <w:r>
              <w:rPr>
                <w:rFonts w:ascii="Arial" w:hAnsi="Arial" w:eastAsia="Arial" w:cs="Arial"/>
                <w:sz w:val="20"/>
                <w:szCs w:val="20"/>
              </w:rPr>
            </w:r>
            <w:r>
              <w:rPr>
                <w:rFonts w:ascii="Arial" w:hAnsi="Arial" w:eastAsia="Arial" w:cs="Arial"/>
                <w:sz w:val="20"/>
                <w:szCs w:val="20"/>
              </w:rPr>
            </w:r>
          </w:p>
        </w:tc>
        <w:tc>
          <w:tcPr>
            <w:tcBorders/>
            <w:vAlign w:val="center"/>
            <w:textDirection w:val="lrTb"/>
            <w:noWrap w:val="false"/>
          </w:tcPr>
          <w:p w14:paraId="00000003">
            <w:pPr>
              <w:pBdr/>
              <w:spacing w:before="60" w:line="276" w:lineRule="auto"/>
              <w:ind/>
              <w:rPr>
                <w:rFonts w:ascii="Arial" w:hAnsi="Arial" w:eastAsia="Arial" w:cs="Arial"/>
                <w:sz w:val="20"/>
                <w:szCs w:val="20"/>
              </w:rPr>
            </w:pPr>
            <w:r>
              <w:rPr>
                <w:rFonts w:ascii="Arial" w:hAnsi="Arial" w:eastAsia="Arial" w:cs="Arial"/>
                <w:sz w:val="20"/>
                <w:szCs w:val="20"/>
                <w:rtl w:val="0"/>
              </w:rPr>
              <w:t xml:space="preserve">Supply of sanitary equipment for a medical institution</w:t>
            </w:r>
            <w:r>
              <w:rPr>
                <w:rFonts w:ascii="Arial" w:hAnsi="Arial" w:eastAsia="Arial" w:cs="Arial"/>
                <w:sz w:val="20"/>
                <w:szCs w:val="20"/>
              </w:rPr>
            </w:r>
            <w:r>
              <w:rPr>
                <w:rFonts w:ascii="Arial" w:hAnsi="Arial" w:eastAsia="Arial" w:cs="Arial"/>
                <w:sz w:val="20"/>
                <w:szCs w:val="20"/>
              </w:rPr>
            </w:r>
          </w:p>
        </w:tc>
      </w:tr>
      <w:tr>
        <w:trPr>
          <w:cantSplit w:val="false"/>
          <w:trHeight w:val="283"/>
        </w:trPr>
        <w:tc>
          <w:tcPr>
            <w:shd w:val="clear" w:color="auto" w:fill="e6e6e6"/>
            <w:tcBorders/>
            <w:vAlign w:val="center"/>
            <w:textDirection w:val="lrTb"/>
            <w:noWrap w:val="false"/>
          </w:tcPr>
          <w:p w14:paraId="00000004">
            <w:pPr>
              <w:pBdr/>
              <w:spacing w:before="60" w:line="276" w:lineRule="auto"/>
              <w:ind/>
              <w:rPr>
                <w:rFonts w:ascii="Arial" w:hAnsi="Arial" w:eastAsia="Arial" w:cs="Arial"/>
                <w:sz w:val="20"/>
                <w:szCs w:val="20"/>
              </w:rPr>
            </w:pPr>
            <w:r>
              <w:rPr>
                <w:rFonts w:ascii="Arial" w:hAnsi="Arial" w:eastAsia="Arial" w:cs="Arial"/>
                <w:sz w:val="20"/>
                <w:szCs w:val="20"/>
                <w:rtl w:val="0"/>
              </w:rPr>
              <w:t xml:space="preserve">Beneficiary</w:t>
            </w:r>
            <w:r>
              <w:rPr>
                <w:rFonts w:ascii="Arial" w:hAnsi="Arial" w:eastAsia="Arial" w:cs="Arial"/>
                <w:sz w:val="20"/>
                <w:szCs w:val="20"/>
              </w:rPr>
            </w:r>
            <w:r>
              <w:rPr>
                <w:rFonts w:ascii="Arial" w:hAnsi="Arial" w:eastAsia="Arial" w:cs="Arial"/>
                <w:sz w:val="20"/>
                <w:szCs w:val="20"/>
              </w:rPr>
            </w:r>
          </w:p>
        </w:tc>
        <w:tc>
          <w:tcPr>
            <w:tcBorders/>
            <w:vAlign w:val="center"/>
            <w:textDirection w:val="lrTb"/>
            <w:noWrap w:val="false"/>
          </w:tcPr>
          <w:p w14:paraId="00000005">
            <w:pPr>
              <w:pBdr/>
              <w:spacing w:line="276" w:lineRule="auto"/>
              <w:ind/>
              <w:rPr>
                <w:rFonts w:ascii="Arial" w:hAnsi="Arial" w:eastAsia="Arial" w:cs="Arial"/>
                <w:sz w:val="20"/>
                <w:szCs w:val="20"/>
              </w:rPr>
            </w:pPr>
            <w:r>
              <w:rPr>
                <w:rFonts w:ascii="Arial" w:hAnsi="Arial" w:eastAsia="Arial" w:cs="Arial"/>
                <w:sz w:val="20"/>
                <w:szCs w:val="20"/>
                <w:rtl w:val="0"/>
              </w:rPr>
              <w:t xml:space="preserve">Medical facility in Chernihiv region</w:t>
            </w:r>
            <w:r>
              <w:rPr>
                <w:rFonts w:ascii="Arial" w:hAnsi="Arial" w:eastAsia="Arial" w:cs="Arial"/>
                <w:sz w:val="20"/>
                <w:szCs w:val="20"/>
              </w:rPr>
            </w:r>
            <w:r>
              <w:rPr>
                <w:rFonts w:ascii="Arial" w:hAnsi="Arial" w:eastAsia="Arial" w:cs="Arial"/>
                <w:sz w:val="20"/>
                <w:szCs w:val="20"/>
              </w:rPr>
            </w:r>
          </w:p>
        </w:tc>
      </w:tr>
      <w:tr>
        <w:trPr>
          <w:cantSplit w:val="false"/>
          <w:trHeight w:val="283"/>
        </w:trPr>
        <w:tc>
          <w:tcPr>
            <w:shd w:val="clear" w:color="auto" w:fill="e6e6e6"/>
            <w:tcBorders/>
            <w:vAlign w:val="center"/>
            <w:textDirection w:val="lrTb"/>
            <w:noWrap w:val="false"/>
          </w:tcPr>
          <w:p w14:paraId="00000006">
            <w:pPr>
              <w:pBdr/>
              <w:spacing w:before="60" w:line="276" w:lineRule="auto"/>
              <w:ind/>
              <w:rPr>
                <w:rFonts w:ascii="Arial" w:hAnsi="Arial" w:eastAsia="Arial" w:cs="Arial"/>
                <w:sz w:val="20"/>
                <w:szCs w:val="20"/>
              </w:rPr>
            </w:pPr>
            <w:r>
              <w:rPr>
                <w:rFonts w:ascii="Arial" w:hAnsi="Arial" w:eastAsia="Arial" w:cs="Arial"/>
                <w:sz w:val="20"/>
                <w:szCs w:val="20"/>
                <w:rtl w:val="0"/>
              </w:rPr>
              <w:t xml:space="preserve">Country</w:t>
            </w:r>
            <w:r>
              <w:rPr>
                <w:rFonts w:ascii="Arial" w:hAnsi="Arial" w:eastAsia="Arial" w:cs="Arial"/>
                <w:sz w:val="20"/>
                <w:szCs w:val="20"/>
              </w:rPr>
            </w:r>
            <w:r>
              <w:rPr>
                <w:rFonts w:ascii="Arial" w:hAnsi="Arial" w:eastAsia="Arial" w:cs="Arial"/>
                <w:sz w:val="20"/>
                <w:szCs w:val="20"/>
              </w:rPr>
            </w:r>
          </w:p>
        </w:tc>
        <w:tc>
          <w:tcPr>
            <w:tcBorders/>
            <w:vAlign w:val="center"/>
            <w:textDirection w:val="lrTb"/>
            <w:noWrap w:val="false"/>
          </w:tcPr>
          <w:p w14:paraId="00000007">
            <w:pPr>
              <w:pBdr/>
              <w:spacing w:line="276" w:lineRule="auto"/>
              <w:ind/>
              <w:rPr>
                <w:rFonts w:ascii="Arial" w:hAnsi="Arial" w:eastAsia="Arial" w:cs="Arial"/>
                <w:sz w:val="20"/>
                <w:szCs w:val="20"/>
              </w:rPr>
            </w:pPr>
            <w:r>
              <w:rPr>
                <w:rFonts w:ascii="Arial" w:hAnsi="Arial" w:eastAsia="Arial" w:cs="Arial"/>
                <w:sz w:val="20"/>
                <w:szCs w:val="20"/>
                <w:rtl w:val="0"/>
              </w:rPr>
              <w:t xml:space="preserve">Ukraine</w:t>
            </w:r>
            <w:r>
              <w:rPr>
                <w:rFonts w:ascii="Arial" w:hAnsi="Arial" w:eastAsia="Arial" w:cs="Arial"/>
                <w:sz w:val="20"/>
                <w:szCs w:val="20"/>
              </w:rPr>
            </w:r>
            <w:r>
              <w:rPr>
                <w:rFonts w:ascii="Arial" w:hAnsi="Arial" w:eastAsia="Arial" w:cs="Arial"/>
                <w:sz w:val="20"/>
                <w:szCs w:val="20"/>
              </w:rPr>
            </w:r>
          </w:p>
        </w:tc>
      </w:tr>
    </w:tbl>
    <w:p w14:paraId="00000008">
      <w:pPr>
        <w:pBdr/>
        <w:spacing w:before="60" w:line="276" w:lineRule="auto"/>
        <w:ind/>
        <w:jc w:val="both"/>
        <w:rPr>
          <w:rFonts w:ascii="Arial" w:hAnsi="Arial" w:eastAsia="Arial" w:cs="Arial"/>
          <w:sz w:val="20"/>
          <w:szCs w:val="20"/>
        </w:rPr>
      </w:pPr>
      <w:r>
        <w:rPr>
          <w:rtl w:val="0"/>
        </w:rPr>
      </w:r>
      <w:r>
        <w:rPr>
          <w:rFonts w:ascii="Arial" w:hAnsi="Arial" w:eastAsia="Arial" w:cs="Arial"/>
          <w:sz w:val="20"/>
          <w:szCs w:val="20"/>
        </w:rPr>
      </w:r>
      <w:r>
        <w:rPr>
          <w:rFonts w:ascii="Arial" w:hAnsi="Arial" w:eastAsia="Arial" w:cs="Arial"/>
          <w:sz w:val="20"/>
          <w:szCs w:val="20"/>
        </w:rPr>
      </w:r>
    </w:p>
    <w:p w14:paraId="00000009">
      <w:pPr>
        <w:numPr>
          <w:ilvl w:val="0"/>
          <w:numId w:val="1"/>
        </w:numPr>
        <w:pBdr/>
        <w:shd w:val="clear" w:color="auto" w:fill="e6e6e6"/>
        <w:spacing w:line="276" w:lineRule="auto"/>
        <w:ind w:hanging="180" w:left="180"/>
        <w:rPr>
          <w:rFonts w:ascii="Arial" w:hAnsi="Arial" w:eastAsia="Arial" w:cs="Arial"/>
          <w:b/>
          <w:bCs/>
          <w:sz w:val="20"/>
          <w:szCs w:val="20"/>
        </w:rPr>
      </w:pPr>
      <w:r>
        <w:rPr>
          <w:rFonts w:ascii="Arial" w:hAnsi="Arial" w:eastAsia="Arial" w:cs="Arial"/>
          <w:b/>
          <w:bCs/>
          <w:sz w:val="20"/>
          <w:szCs w:val="20"/>
          <w:rtl w:val="0"/>
        </w:rPr>
        <w:t xml:space="preserve">Background information</w:t>
      </w:r>
      <w:r>
        <w:rPr>
          <w:rFonts w:ascii="Arial" w:hAnsi="Arial" w:eastAsia="Arial" w:cs="Arial"/>
          <w:b/>
          <w:bCs/>
          <w:sz w:val="20"/>
          <w:szCs w:val="20"/>
        </w:rPr>
      </w:r>
      <w:r>
        <w:rPr>
          <w:rFonts w:ascii="Arial" w:hAnsi="Arial" w:eastAsia="Arial" w:cs="Arial"/>
          <w:b/>
          <w:bCs/>
          <w:sz w:val="20"/>
          <w:szCs w:val="20"/>
        </w:rPr>
      </w:r>
    </w:p>
    <w:p w14:paraId="0000000A">
      <w:pPr>
        <w:pBdr/>
        <w:spacing w:after="240" w:before="240" w:line="276" w:lineRule="auto"/>
        <w:ind/>
        <w:jc w:val="both"/>
        <w:rPr>
          <w:rFonts w:ascii="Arial" w:hAnsi="Arial" w:eastAsia="Arial" w:cs="Arial"/>
          <w:sz w:val="20"/>
          <w:szCs w:val="20"/>
        </w:rPr>
      </w:pPr>
      <w:r>
        <w:rPr>
          <w:rFonts w:ascii="Arial" w:hAnsi="Arial" w:eastAsia="Arial" w:cs="Arial"/>
          <w:sz w:val="20"/>
          <w:szCs w:val="20"/>
          <w:rtl w:val="0"/>
        </w:rPr>
        <w:t xml:space="preserve">Expertise France is the French International Technical Cooperation Agency, with the status of public institution under the joint supervision of the Ministry of Europe and Foreign Affairs and th</w:t>
      </w:r>
      <w:r>
        <w:rPr>
          <w:rFonts w:ascii="Arial" w:hAnsi="Arial" w:eastAsia="Arial" w:cs="Arial"/>
          <w:sz w:val="20"/>
          <w:szCs w:val="20"/>
          <w:rtl w:val="0"/>
        </w:rPr>
        <w:t xml:space="preserve">e Ministries of Economics, Finance and Industrial and Digital Sovereignty. It is the second largest technical cooperation agency in Europe. Expertise France designs and implements projects that strengthen public policies over the long term in developing an</w:t>
      </w:r>
      <w:r>
        <w:rPr>
          <w:rFonts w:ascii="Arial" w:hAnsi="Arial" w:eastAsia="Arial" w:cs="Arial"/>
          <w:sz w:val="20"/>
          <w:szCs w:val="20"/>
          <w:rtl w:val="0"/>
        </w:rPr>
        <w:t xml:space="preserve">d emerging countries. As the French public agency for international technical cooperation, Expertise France operates in more than 100 countries, implementing more than 400 projects. The agency works in close collaboration with French public institutions, a</w:t>
      </w:r>
      <w:r>
        <w:rPr>
          <w:rFonts w:ascii="Arial" w:hAnsi="Arial" w:eastAsia="Arial" w:cs="Arial"/>
          <w:sz w:val="20"/>
          <w:szCs w:val="20"/>
          <w:rtl w:val="0"/>
        </w:rPr>
        <w:t xml:space="preserve">s well as with the European Union, to respond to the needs of partner countries that wish to improve public policies that tackle these challenges. In Ukraine the Agency has been regularly present since 2006 through series of technical assistance projects. </w:t>
      </w:r>
      <w:r>
        <w:rPr>
          <w:rFonts w:ascii="Arial" w:hAnsi="Arial" w:eastAsia="Arial" w:cs="Arial"/>
          <w:sz w:val="20"/>
          <w:szCs w:val="20"/>
        </w:rPr>
      </w:r>
      <w:r>
        <w:rPr>
          <w:rFonts w:ascii="Arial" w:hAnsi="Arial" w:eastAsia="Arial" w:cs="Arial"/>
          <w:sz w:val="20"/>
          <w:szCs w:val="20"/>
        </w:rPr>
      </w:r>
    </w:p>
    <w:p w14:paraId="0000000B">
      <w:pPr>
        <w:pBdr/>
        <w:spacing w:line="276" w:lineRule="auto"/>
        <w:ind/>
        <w:jc w:val="both"/>
        <w:rPr>
          <w:rFonts w:ascii="Arial" w:hAnsi="Arial" w:eastAsia="Arial" w:cs="Arial"/>
          <w:sz w:val="20"/>
          <w:szCs w:val="20"/>
        </w:rPr>
      </w:pPr>
      <w:r>
        <w:rPr>
          <w:rFonts w:ascii="Arial" w:hAnsi="Arial" w:eastAsia="Arial" w:cs="Arial"/>
          <w:b/>
          <w:bCs/>
          <w:sz w:val="20"/>
          <w:szCs w:val="20"/>
          <w:rtl w:val="0"/>
        </w:rPr>
        <w:t xml:space="preserve">Expertise France in Ukraine</w:t>
      </w:r>
      <w:r>
        <w:rPr>
          <w:rFonts w:ascii="Arial" w:hAnsi="Arial" w:eastAsia="Arial" w:cs="Arial"/>
          <w:sz w:val="20"/>
          <w:szCs w:val="20"/>
        </w:rPr>
      </w:r>
      <w:r>
        <w:rPr>
          <w:rFonts w:ascii="Arial" w:hAnsi="Arial" w:eastAsia="Arial" w:cs="Arial"/>
          <w:sz w:val="20"/>
          <w:szCs w:val="20"/>
        </w:rPr>
      </w:r>
    </w:p>
    <w:p w14:paraId="0000000C">
      <w:pPr>
        <w:pBdr/>
        <w:spacing w:after="240" w:line="276" w:lineRule="auto"/>
        <w:ind/>
        <w:jc w:val="both"/>
        <w:rPr>
          <w:rFonts w:ascii="Arial" w:hAnsi="Arial" w:eastAsia="Arial" w:cs="Arial"/>
          <w:sz w:val="20"/>
          <w:szCs w:val="20"/>
        </w:rPr>
      </w:pPr>
      <w:r>
        <w:rPr>
          <w:rFonts w:ascii="Arial" w:hAnsi="Arial" w:eastAsia="Arial" w:cs="Arial"/>
          <w:sz w:val="20"/>
          <w:szCs w:val="20"/>
          <w:rtl w:val="0"/>
        </w:rPr>
        <w:t xml:space="preserve">The MEAE has financed in 2023 Expertise France with an envelope of €14.5 million to position French technical cooperation </w:t>
      </w:r>
      <w:r>
        <w:rPr>
          <w:rFonts w:ascii="Arial" w:hAnsi="Arial" w:eastAsia="Arial" w:cs="Arial"/>
          <w:sz w:val="20"/>
          <w:szCs w:val="20"/>
          <w:rtl w:val="0"/>
        </w:rPr>
        <w:t xml:space="preserve">and respond to Ukraine’s short, medium and long-term needs. This facility, entitled mAIDan Ukraine, finances and co-finances technical assistance projects to support Ukrainian authorities in preparing for reconstruction and the European accession process. </w:t>
      </w:r>
      <w:r>
        <w:rPr>
          <w:rFonts w:ascii="Arial" w:hAnsi="Arial" w:eastAsia="Arial" w:cs="Arial"/>
          <w:sz w:val="20"/>
          <w:szCs w:val="20"/>
        </w:rPr>
      </w:r>
      <w:r>
        <w:rPr>
          <w:rFonts w:ascii="Arial" w:hAnsi="Arial" w:eastAsia="Arial" w:cs="Arial"/>
          <w:sz w:val="20"/>
          <w:szCs w:val="20"/>
        </w:rPr>
      </w:r>
    </w:p>
    <w:p w14:paraId="0000000D">
      <w:pPr>
        <w:pBdr/>
        <w:spacing w:after="240" w:line="276" w:lineRule="auto"/>
        <w:ind/>
        <w:jc w:val="both"/>
        <w:rPr>
          <w:rFonts w:ascii="Arial" w:hAnsi="Arial" w:eastAsia="Arial" w:cs="Arial"/>
          <w:sz w:val="20"/>
          <w:szCs w:val="20"/>
        </w:rPr>
      </w:pPr>
      <w:r>
        <w:rPr>
          <w:rFonts w:ascii="Arial" w:hAnsi="Arial" w:eastAsia="Arial" w:cs="Arial"/>
          <w:sz w:val="20"/>
          <w:szCs w:val="20"/>
          <w:rtl w:val="0"/>
        </w:rPr>
        <w:t xml:space="preserve">The ongoing other projects in Ukraine include: the EU-funded project</w:t>
      </w:r>
      <w:r>
        <w:rPr>
          <w:rFonts w:ascii="Arial" w:hAnsi="Arial" w:eastAsia="Arial" w:cs="Arial"/>
          <w:b/>
          <w:bCs/>
          <w:sz w:val="20"/>
          <w:szCs w:val="20"/>
          <w:rtl w:val="0"/>
        </w:rPr>
        <w:t xml:space="preserve"> Pravo-Justice</w:t>
      </w:r>
      <w:r>
        <w:rPr>
          <w:rFonts w:ascii="Arial" w:hAnsi="Arial" w:eastAsia="Arial" w:cs="Arial"/>
          <w:sz w:val="20"/>
          <w:szCs w:val="20"/>
          <w:rtl w:val="0"/>
        </w:rPr>
        <w:t xml:space="preserve"> which promotes greater rule of law in Ukraine, in line with European standards and comparative practices; the “</w:t>
      </w:r>
      <w:r>
        <w:rPr>
          <w:rFonts w:ascii="Arial" w:hAnsi="Arial" w:eastAsia="Arial" w:cs="Arial"/>
          <w:b/>
          <w:bCs/>
          <w:sz w:val="20"/>
          <w:szCs w:val="20"/>
          <w:rtl w:val="0"/>
        </w:rPr>
        <w:t xml:space="preserve">Stiykist</w:t>
      </w:r>
      <w:r>
        <w:rPr>
          <w:rFonts w:ascii="Arial" w:hAnsi="Arial" w:eastAsia="Arial" w:cs="Arial"/>
          <w:sz w:val="20"/>
          <w:szCs w:val="20"/>
          <w:rtl w:val="0"/>
        </w:rPr>
        <w:t xml:space="preserve">” (resilience) project aims to contribute to social transformation and resilience in Ukraine by strengthening the capacities of national, regional a</w:t>
      </w:r>
      <w:r>
        <w:rPr>
          <w:rFonts w:ascii="Arial" w:hAnsi="Arial" w:eastAsia="Arial" w:cs="Arial"/>
          <w:sz w:val="20"/>
          <w:szCs w:val="20"/>
          <w:rtl w:val="0"/>
        </w:rPr>
        <w:t xml:space="preserve">nd local institutions in the field of vocational training and social services, with a particular focus on the social inclusion of the most vulnerable; the Technical Support of the State Audit Service project which aims to mobilize French and national techn</w:t>
      </w:r>
      <w:r>
        <w:rPr>
          <w:rFonts w:ascii="Arial" w:hAnsi="Arial" w:eastAsia="Arial" w:cs="Arial"/>
          <w:sz w:val="20"/>
          <w:szCs w:val="20"/>
          <w:rtl w:val="0"/>
        </w:rPr>
        <w:t xml:space="preserve">ical expertise to help bringing Ukrainian legislation into line with the acquis Communautaire, particularly in terms of protecting the EU’s financial interests and supporting the SAS in its role of inspecting and monitoring the use of reconstruction funds.</w:t>
      </w:r>
      <w:r>
        <w:rPr>
          <w:rFonts w:ascii="Arial" w:hAnsi="Arial" w:eastAsia="Arial" w:cs="Arial"/>
          <w:sz w:val="20"/>
          <w:szCs w:val="20"/>
        </w:rPr>
      </w:r>
      <w:r>
        <w:rPr>
          <w:rFonts w:ascii="Arial" w:hAnsi="Arial" w:eastAsia="Arial" w:cs="Arial"/>
          <w:sz w:val="20"/>
          <w:szCs w:val="20"/>
        </w:rPr>
      </w:r>
    </w:p>
    <w:p w14:paraId="0000000E">
      <w:pPr>
        <w:pBdr/>
        <w:spacing w:line="276" w:lineRule="auto"/>
        <w:ind/>
        <w:jc w:val="both"/>
        <w:rPr>
          <w:rFonts w:ascii="Arial" w:hAnsi="Arial" w:eastAsia="Arial" w:cs="Arial"/>
          <w:sz w:val="20"/>
          <w:szCs w:val="20"/>
        </w:rPr>
      </w:pPr>
      <w:r>
        <w:rPr>
          <w:rFonts w:ascii="Arial" w:hAnsi="Arial" w:eastAsia="Arial" w:cs="Arial"/>
          <w:b/>
          <w:bCs/>
          <w:sz w:val="20"/>
          <w:szCs w:val="20"/>
          <w:rtl w:val="0"/>
        </w:rPr>
        <w:t xml:space="preserve">Expertise France’s Health Programme</w:t>
      </w:r>
      <w:r>
        <w:rPr>
          <w:rFonts w:ascii="Arial" w:hAnsi="Arial" w:eastAsia="Arial" w:cs="Arial"/>
          <w:sz w:val="20"/>
          <w:szCs w:val="20"/>
          <w:rtl w:val="0"/>
        </w:rPr>
        <w:t xml:space="preserve"> </w:t>
      </w:r>
      <w:r>
        <w:rPr>
          <w:rFonts w:ascii="Arial" w:hAnsi="Arial" w:eastAsia="Arial" w:cs="Arial"/>
          <w:sz w:val="20"/>
          <w:szCs w:val="20"/>
        </w:rPr>
      </w:r>
      <w:r>
        <w:rPr>
          <w:rFonts w:ascii="Arial" w:hAnsi="Arial" w:eastAsia="Arial" w:cs="Arial"/>
          <w:sz w:val="20"/>
          <w:szCs w:val="20"/>
        </w:rPr>
      </w:r>
    </w:p>
    <w:p w14:paraId="0000000F">
      <w:pPr>
        <w:pBdr/>
        <w:spacing w:line="276" w:lineRule="auto"/>
        <w:ind/>
        <w:jc w:val="both"/>
        <w:rPr>
          <w:rFonts w:ascii="Arial" w:hAnsi="Arial" w:eastAsia="Arial" w:cs="Arial"/>
          <w:sz w:val="20"/>
          <w:szCs w:val="20"/>
        </w:rPr>
      </w:pPr>
      <w:r>
        <w:rPr>
          <w:rFonts w:ascii="Arial" w:hAnsi="Arial" w:eastAsia="Arial" w:cs="Arial"/>
          <w:sz w:val="20"/>
          <w:szCs w:val="20"/>
          <w:rtl w:val="0"/>
        </w:rPr>
        <w:t xml:space="preserve">As part of France’s strategy for reconstruction and aid in Ukraine focusing on the health sector The French Ministry of Europe and Foreign Affairs (MEAE)’s Crisis Center (CDCS) has financed €18 million over 36 months to the </w:t>
      </w:r>
      <w:r>
        <w:rPr>
          <w:rFonts w:ascii="Arial" w:hAnsi="Arial" w:eastAsia="Arial" w:cs="Arial"/>
          <w:b/>
          <w:bCs/>
          <w:sz w:val="20"/>
          <w:szCs w:val="20"/>
          <w:rtl w:val="0"/>
        </w:rPr>
        <w:t xml:space="preserve">APPUI</w:t>
      </w:r>
      <w:r>
        <w:rPr>
          <w:rFonts w:ascii="Arial" w:hAnsi="Arial" w:eastAsia="Arial" w:cs="Arial"/>
          <w:sz w:val="20"/>
          <w:szCs w:val="20"/>
          <w:rtl w:val="0"/>
        </w:rPr>
        <w:t xml:space="preserve"> Santé project from 2024 to 2026. The project, implemented in partnersh</w:t>
      </w:r>
      <w:r>
        <w:rPr>
          <w:rFonts w:ascii="Arial" w:hAnsi="Arial" w:eastAsia="Arial" w:cs="Arial"/>
          <w:sz w:val="20"/>
          <w:szCs w:val="20"/>
          <w:rtl w:val="0"/>
        </w:rPr>
        <w:t xml:space="preserve">ip with Ministry of Health of Ukraine and other key stakeholders aims to improve Ukrainian populations’ access to essential healthcare services in times of crisis. The project focuses on enhancing hospital cooperation between France and Ukraine, mobilizing</w:t>
      </w:r>
      <w:r>
        <w:rPr>
          <w:rFonts w:ascii="Arial" w:hAnsi="Arial" w:eastAsia="Arial" w:cs="Arial"/>
          <w:sz w:val="20"/>
          <w:szCs w:val="20"/>
          <w:rtl w:val="0"/>
        </w:rPr>
        <w:t xml:space="preserve"> French expertise, financing implementing partners, financing national healthcare authorities’ resources and projects, reconstructing and modernizing healthcare infrastructure and donating medical equipment at the request of Ministry of Health of Ukraine. </w:t>
      </w:r>
      <w:r>
        <w:rPr>
          <w:rFonts w:ascii="Arial" w:hAnsi="Arial" w:eastAsia="Arial" w:cs="Arial"/>
          <w:sz w:val="20"/>
          <w:szCs w:val="20"/>
        </w:rPr>
      </w:r>
      <w:r>
        <w:rPr>
          <w:rFonts w:ascii="Arial" w:hAnsi="Arial" w:eastAsia="Arial" w:cs="Arial"/>
          <w:sz w:val="20"/>
          <w:szCs w:val="20"/>
        </w:rPr>
      </w:r>
    </w:p>
    <w:p w14:paraId="00000010">
      <w:pPr>
        <w:pBdr/>
        <w:spacing w:after="240" w:line="276" w:lineRule="auto"/>
        <w:ind/>
        <w:jc w:val="both"/>
        <w:rPr>
          <w:rFonts w:ascii="Arial" w:hAnsi="Arial" w:eastAsia="Arial" w:cs="Arial"/>
          <w:sz w:val="20"/>
          <w:szCs w:val="20"/>
        </w:rPr>
      </w:pPr>
      <w:r>
        <w:rPr>
          <w:rFonts w:ascii="Arial" w:hAnsi="Arial" w:eastAsia="Arial" w:cs="Arial"/>
          <w:sz w:val="20"/>
          <w:szCs w:val="20"/>
          <w:rtl w:val="0"/>
        </w:rPr>
        <w:t xml:space="preserve">The </w:t>
      </w:r>
      <w:r>
        <w:rPr>
          <w:rFonts w:ascii="Arial" w:hAnsi="Arial" w:eastAsia="Arial" w:cs="Arial"/>
          <w:b/>
          <w:bCs/>
          <w:sz w:val="20"/>
          <w:szCs w:val="20"/>
          <w:rtl w:val="0"/>
        </w:rPr>
        <w:t xml:space="preserve">REHAB</w:t>
      </w:r>
      <w:r>
        <w:rPr>
          <w:rFonts w:ascii="Arial" w:hAnsi="Arial" w:eastAsia="Arial" w:cs="Arial"/>
          <w:sz w:val="20"/>
          <w:szCs w:val="20"/>
          <w:rtl w:val="0"/>
        </w:rPr>
        <w:t xml:space="preserve"> project, funded by the French Development Agency (l’AFD) for €5 million over 24 months, from 2025 to 2026 aims overall supporting Ukraine in maintaining and stre</w:t>
      </w:r>
      <w:r>
        <w:rPr>
          <w:rFonts w:ascii="Arial" w:hAnsi="Arial" w:eastAsia="Arial" w:cs="Arial"/>
          <w:sz w:val="20"/>
          <w:szCs w:val="20"/>
          <w:rtl w:val="0"/>
        </w:rPr>
        <w:t xml:space="preserve">ngthening its healthcare system to address the consequences of the conflict on the physical and mental health of Ukrainians. Activities are designed around enhancing mental health services and infrastructure in the Odesa region; strengthening physical reha</w:t>
      </w:r>
      <w:r>
        <w:rPr>
          <w:rFonts w:ascii="Arial" w:hAnsi="Arial" w:eastAsia="Arial" w:cs="Arial"/>
          <w:sz w:val="20"/>
          <w:szCs w:val="20"/>
          <w:rtl w:val="0"/>
        </w:rPr>
        <w:t xml:space="preserve">bilitation efforts and infrastructure, while also emphasizing broader capacity-building initiatives across Ukraine with national and international partners; and identifying and conducting feasibility studies to prepare for concessional loan opportunities. </w:t>
      </w:r>
      <w:r>
        <w:rPr>
          <w:rFonts w:ascii="Arial" w:hAnsi="Arial" w:eastAsia="Arial" w:cs="Arial"/>
          <w:sz w:val="20"/>
          <w:szCs w:val="20"/>
        </w:rPr>
      </w:r>
      <w:r>
        <w:rPr>
          <w:rFonts w:ascii="Arial" w:hAnsi="Arial" w:eastAsia="Arial" w:cs="Arial"/>
          <w:sz w:val="20"/>
          <w:szCs w:val="20"/>
        </w:rPr>
      </w:r>
    </w:p>
    <w:p w14:paraId="00000011">
      <w:pPr>
        <w:numPr>
          <w:ilvl w:val="0"/>
          <w:numId w:val="1"/>
        </w:numPr>
        <w:pBdr/>
        <w:shd w:val="clear" w:color="auto" w:fill="e6e6e6"/>
        <w:spacing w:line="276" w:lineRule="auto"/>
        <w:ind w:hanging="180" w:left="180"/>
        <w:rPr>
          <w:rFonts w:ascii="Arial" w:hAnsi="Arial" w:eastAsia="Arial" w:cs="Arial"/>
          <w:b/>
          <w:bCs/>
          <w:sz w:val="20"/>
          <w:szCs w:val="20"/>
        </w:rPr>
      </w:pPr>
      <w:r>
        <w:rPr>
          <w:rFonts w:ascii="Arial" w:hAnsi="Arial" w:eastAsia="Arial" w:cs="Arial"/>
          <w:b/>
          <w:bCs/>
          <w:sz w:val="20"/>
          <w:szCs w:val="20"/>
          <w:rtl w:val="0"/>
        </w:rPr>
        <w:t xml:space="preserve">Objectives of the assignment</w:t>
      </w:r>
      <w:r>
        <w:rPr>
          <w:rFonts w:ascii="Arial" w:hAnsi="Arial" w:eastAsia="Arial" w:cs="Arial"/>
          <w:b/>
          <w:bCs/>
          <w:sz w:val="20"/>
          <w:szCs w:val="20"/>
        </w:rPr>
      </w:r>
      <w:r>
        <w:rPr>
          <w:rFonts w:ascii="Arial" w:hAnsi="Arial" w:eastAsia="Arial" w:cs="Arial"/>
          <w:b/>
          <w:bCs/>
          <w:sz w:val="20"/>
          <w:szCs w:val="20"/>
        </w:rPr>
      </w:r>
    </w:p>
    <w:p w14:paraId="00000012">
      <w:pPr>
        <w:pBdr/>
        <w:spacing w:line="276" w:lineRule="auto"/>
        <w:ind/>
        <w:jc w:val="both"/>
        <w:rPr>
          <w:rFonts w:ascii="Arial" w:hAnsi="Arial" w:eastAsia="Arial" w:cs="Arial"/>
          <w:sz w:val="20"/>
          <w:szCs w:val="20"/>
        </w:rPr>
      </w:pPr>
      <w:r>
        <w:rPr>
          <w:rtl w:val="0"/>
        </w:rPr>
      </w:r>
      <w:r>
        <w:rPr>
          <w:rFonts w:ascii="Arial" w:hAnsi="Arial" w:eastAsia="Arial" w:cs="Arial"/>
          <w:sz w:val="20"/>
          <w:szCs w:val="20"/>
        </w:rPr>
      </w:r>
      <w:r>
        <w:rPr>
          <w:rFonts w:ascii="Arial" w:hAnsi="Arial" w:eastAsia="Arial" w:cs="Arial"/>
          <w:sz w:val="20"/>
          <w:szCs w:val="20"/>
        </w:rPr>
      </w:r>
    </w:p>
    <w:p w14:paraId="00000013">
      <w:pPr>
        <w:pBdr/>
        <w:spacing w:after="240" w:line="276" w:lineRule="auto"/>
        <w:ind/>
        <w:jc w:val="both"/>
        <w:rPr>
          <w:rFonts w:ascii="Arial" w:hAnsi="Arial" w:eastAsia="Arial" w:cs="Arial"/>
          <w:sz w:val="20"/>
          <w:szCs w:val="20"/>
        </w:rPr>
      </w:pPr>
      <w:r>
        <w:rPr>
          <w:rFonts w:ascii="Arial" w:hAnsi="Arial" w:eastAsia="Arial" w:cs="Arial"/>
          <w:sz w:val="20"/>
          <w:szCs w:val="20"/>
          <w:rtl w:val="0"/>
        </w:rPr>
        <w:t xml:space="preserve">Expertise France has been currently completing renovation works in medical institutions of t</w:t>
      </w:r>
      <w:r>
        <w:rPr>
          <w:rFonts w:ascii="Arial" w:hAnsi="Arial" w:eastAsia="Arial" w:cs="Arial"/>
          <w:sz w:val="20"/>
          <w:szCs w:val="20"/>
          <w:rtl w:val="0"/>
        </w:rPr>
        <w:t xml:space="preserve">he Chernihiv region to ensure comfortable environment for patients and staff in the framework of APPUI Santé project. The current tender aims to create conditions that ensure the safety of patients and improved conditions during their stay in the facility.</w:t>
      </w:r>
      <w:r>
        <w:rPr>
          <w:rFonts w:ascii="Arial" w:hAnsi="Arial" w:eastAsia="Arial" w:cs="Arial"/>
          <w:sz w:val="20"/>
          <w:szCs w:val="20"/>
        </w:rPr>
      </w:r>
      <w:r>
        <w:rPr>
          <w:rFonts w:ascii="Arial" w:hAnsi="Arial" w:eastAsia="Arial" w:cs="Arial"/>
          <w:sz w:val="20"/>
          <w:szCs w:val="20"/>
        </w:rPr>
      </w:r>
    </w:p>
    <w:p w14:paraId="00000014">
      <w:pPr>
        <w:pBdr/>
        <w:spacing w:after="240" w:line="276" w:lineRule="auto"/>
        <w:ind/>
        <w:jc w:val="both"/>
        <w:rPr>
          <w:rFonts w:ascii="Arial" w:hAnsi="Arial" w:eastAsia="Arial" w:cs="Arial"/>
          <w:sz w:val="20"/>
          <w:szCs w:val="20"/>
        </w:rPr>
      </w:pPr>
      <w:r>
        <w:rPr>
          <w:rFonts w:ascii="Arial" w:hAnsi="Arial" w:eastAsia="Arial" w:cs="Arial"/>
          <w:sz w:val="20"/>
          <w:szCs w:val="20"/>
          <w:rtl w:val="0"/>
        </w:rPr>
        <w:t xml:space="preserve">Following the completion of repair works in the premises and to ensure its full operational functionality, the premises requires essential </w:t>
      </w:r>
      <w:r>
        <w:rPr>
          <w:rFonts w:ascii="Arial" w:hAnsi="Arial" w:eastAsia="Arial" w:cs="Arial"/>
          <w:sz w:val="20"/>
          <w:szCs w:val="20"/>
          <w:rtl w:val="0"/>
        </w:rPr>
        <w:t xml:space="preserve">sanitary equipment</w:t>
      </w:r>
      <w:r>
        <w:rPr>
          <w:rFonts w:ascii="Arial" w:hAnsi="Arial" w:eastAsia="Arial" w:cs="Arial"/>
          <w:sz w:val="20"/>
          <w:szCs w:val="20"/>
          <w:rtl w:val="0"/>
        </w:rPr>
        <w:t xml:space="preserve">.</w:t>
      </w:r>
      <w:r>
        <w:rPr>
          <w:rFonts w:ascii="Arial" w:hAnsi="Arial" w:eastAsia="Arial" w:cs="Arial"/>
          <w:sz w:val="20"/>
          <w:szCs w:val="20"/>
        </w:rPr>
      </w:r>
      <w:r>
        <w:rPr>
          <w:rFonts w:ascii="Arial" w:hAnsi="Arial" w:eastAsia="Arial" w:cs="Arial"/>
          <w:sz w:val="20"/>
          <w:szCs w:val="20"/>
        </w:rPr>
      </w:r>
    </w:p>
    <w:p w14:paraId="00000015">
      <w:pPr>
        <w:pBdr/>
        <w:spacing w:after="240" w:line="276" w:lineRule="auto"/>
        <w:ind/>
        <w:jc w:val="both"/>
        <w:rPr>
          <w:rFonts w:ascii="Arial" w:hAnsi="Arial" w:eastAsia="Arial" w:cs="Arial"/>
          <w:sz w:val="20"/>
          <w:szCs w:val="20"/>
        </w:rPr>
      </w:pPr>
      <w:r>
        <w:rPr>
          <w:rFonts w:ascii="Arial" w:hAnsi="Arial" w:eastAsia="Arial" w:cs="Arial"/>
          <w:sz w:val="20"/>
          <w:szCs w:val="20"/>
          <w:rtl w:val="0"/>
        </w:rPr>
        <w:t xml:space="preserve">The provision of such equipment is necessary to support basic needs, including hygiene, and maintaining appropriate environmental conditions. </w:t>
      </w:r>
      <w:r>
        <w:rPr>
          <w:rFonts w:ascii="Arial" w:hAnsi="Arial" w:eastAsia="Arial" w:cs="Arial"/>
          <w:sz w:val="20"/>
          <w:szCs w:val="20"/>
        </w:rPr>
      </w:r>
      <w:r>
        <w:rPr>
          <w:rFonts w:ascii="Arial" w:hAnsi="Arial" w:eastAsia="Arial" w:cs="Arial"/>
          <w:sz w:val="20"/>
          <w:szCs w:val="20"/>
        </w:rPr>
      </w:r>
    </w:p>
    <w:p w14:paraId="00000016">
      <w:pPr>
        <w:pBdr/>
        <w:spacing w:after="240" w:line="276" w:lineRule="auto"/>
        <w:ind/>
        <w:jc w:val="both"/>
        <w:rPr>
          <w:rFonts w:ascii="Arial" w:hAnsi="Arial" w:eastAsia="Arial" w:cs="Arial"/>
          <w:sz w:val="20"/>
          <w:szCs w:val="20"/>
        </w:rPr>
      </w:pPr>
      <w:r>
        <w:rPr>
          <w:rFonts w:ascii="Arial" w:hAnsi="Arial" w:eastAsia="Arial" w:cs="Arial"/>
          <w:sz w:val="20"/>
          <w:szCs w:val="20"/>
          <w:rtl w:val="0"/>
        </w:rPr>
        <w:t xml:space="preserve">In order to improve safety, functionality, patient-cantered care and comfortable conditions for the patients and the staff the furniture, technical appliances and medical beds for the designated areas of the renovate</w:t>
      </w:r>
      <w:r>
        <w:rPr>
          <w:rFonts w:ascii="Arial" w:hAnsi="Arial" w:eastAsia="Arial" w:cs="Arial"/>
          <w:sz w:val="20"/>
          <w:szCs w:val="20"/>
          <w:rtl w:val="0"/>
        </w:rPr>
        <w:t xml:space="preserve">d premises should be procured. Proper furniture (bed, chairs, tables etc.), will provide patients with the safe and comfortable environment during therapeutic sessions, consultation and other activities. Technical appliances (refrigerators, microwaves, ket</w:t>
      </w:r>
      <w:r>
        <w:rPr>
          <w:rFonts w:ascii="Arial" w:hAnsi="Arial" w:eastAsia="Arial" w:cs="Arial"/>
          <w:sz w:val="20"/>
          <w:szCs w:val="20"/>
          <w:rtl w:val="0"/>
        </w:rPr>
        <w:t xml:space="preserve">tles, etc.) will support patients’ dietary needs and compliance with hygiene standards. They are necessary to ensure safe preparation and storage of the meals for patients. Medical beds (functional beds) will improve patients’ comfort, safety and recovery.</w:t>
      </w:r>
      <w:r>
        <w:rPr>
          <w:rFonts w:ascii="Arial" w:hAnsi="Arial" w:eastAsia="Arial" w:cs="Arial"/>
          <w:sz w:val="20"/>
          <w:szCs w:val="20"/>
        </w:rPr>
      </w:r>
      <w:r>
        <w:rPr>
          <w:rFonts w:ascii="Arial" w:hAnsi="Arial" w:eastAsia="Arial" w:cs="Arial"/>
          <w:sz w:val="20"/>
          <w:szCs w:val="20"/>
        </w:rPr>
      </w:r>
    </w:p>
    <w:p w14:paraId="00000017">
      <w:pPr>
        <w:pBdr/>
        <w:spacing w:after="240" w:line="276" w:lineRule="auto"/>
        <w:ind/>
        <w:jc w:val="both"/>
        <w:rPr>
          <w:rFonts w:ascii="Arial" w:hAnsi="Arial" w:eastAsia="Arial" w:cs="Arial"/>
          <w:sz w:val="20"/>
          <w:szCs w:val="20"/>
        </w:rPr>
      </w:pPr>
      <w:r>
        <w:rPr>
          <w:rFonts w:ascii="Arial" w:hAnsi="Arial" w:eastAsia="Arial" w:cs="Arial"/>
          <w:sz w:val="20"/>
          <w:szCs w:val="20"/>
          <w:rtl w:val="0"/>
        </w:rPr>
        <w:t xml:space="preserve">Therefore, the reque</w:t>
      </w:r>
      <w:r>
        <w:rPr>
          <w:rFonts w:ascii="Arial" w:hAnsi="Arial" w:eastAsia="Arial" w:cs="Arial"/>
          <w:sz w:val="20"/>
          <w:szCs w:val="20"/>
          <w:rtl w:val="0"/>
        </w:rPr>
        <w:t xml:space="preserve">sted supply of medical beds, technical appliances and furniture is critical to make the premises fully functional, safe, and compliant with minimum operational and sanitary standards, thereby strengthening the overall resilience of the healthcare facility.</w:t>
      </w:r>
      <w:r>
        <w:rPr>
          <w:rFonts w:ascii="Arial" w:hAnsi="Arial" w:eastAsia="Arial" w:cs="Arial"/>
          <w:sz w:val="20"/>
          <w:szCs w:val="20"/>
        </w:rPr>
      </w:r>
      <w:r>
        <w:rPr>
          <w:rFonts w:ascii="Arial" w:hAnsi="Arial" w:eastAsia="Arial" w:cs="Arial"/>
          <w:sz w:val="20"/>
          <w:szCs w:val="20"/>
        </w:rPr>
      </w:r>
    </w:p>
    <w:p w14:paraId="00000018">
      <w:pPr>
        <w:numPr>
          <w:ilvl w:val="0"/>
          <w:numId w:val="1"/>
        </w:numPr>
        <w:pBdr/>
        <w:shd w:val="clear" w:color="auto" w:fill="e6e6e6"/>
        <w:spacing w:line="276" w:lineRule="auto"/>
        <w:ind w:hanging="180" w:left="180"/>
        <w:rPr>
          <w:rFonts w:ascii="Arial" w:hAnsi="Arial" w:eastAsia="Arial" w:cs="Arial"/>
          <w:b/>
          <w:bCs/>
          <w:sz w:val="20"/>
          <w:szCs w:val="20"/>
        </w:rPr>
      </w:pPr>
      <w:r>
        <w:rPr>
          <w:rFonts w:ascii="Arial" w:hAnsi="Arial" w:eastAsia="Arial" w:cs="Arial"/>
          <w:b/>
          <w:bCs/>
          <w:sz w:val="20"/>
          <w:szCs w:val="20"/>
          <w:rtl w:val="0"/>
        </w:rPr>
        <w:t xml:space="preserve">Description of the assignment</w:t>
      </w:r>
      <w:r>
        <w:rPr>
          <w:rFonts w:ascii="Arial" w:hAnsi="Arial" w:eastAsia="Arial" w:cs="Arial"/>
          <w:b/>
          <w:bCs/>
          <w:sz w:val="20"/>
          <w:szCs w:val="20"/>
        </w:rPr>
      </w:r>
      <w:r>
        <w:rPr>
          <w:rFonts w:ascii="Arial" w:hAnsi="Arial" w:eastAsia="Arial" w:cs="Arial"/>
          <w:b/>
          <w:bCs/>
          <w:sz w:val="20"/>
          <w:szCs w:val="20"/>
        </w:rPr>
      </w:r>
    </w:p>
    <w:p w14:paraId="00000019">
      <w:pPr>
        <w:pBdr/>
        <w:spacing w:before="240" w:line="276" w:lineRule="auto"/>
        <w:ind/>
        <w:jc w:val="both"/>
        <w:rPr>
          <w:rFonts w:ascii="Arial" w:hAnsi="Arial" w:eastAsia="Arial" w:cs="Arial"/>
          <w:sz w:val="20"/>
          <w:szCs w:val="20"/>
        </w:rPr>
      </w:pPr>
      <w:r>
        <w:rPr>
          <w:rFonts w:ascii="Arial" w:hAnsi="Arial" w:eastAsia="Arial" w:cs="Arial"/>
          <w:sz w:val="20"/>
          <w:szCs w:val="20"/>
          <w:rtl w:val="0"/>
        </w:rPr>
        <w:t xml:space="preserve">The objective of this procurement is to ensure the operational readiness and functionality o</w:t>
      </w:r>
      <w:r>
        <w:rPr>
          <w:rFonts w:ascii="Arial" w:hAnsi="Arial" w:eastAsia="Arial" w:cs="Arial"/>
          <w:sz w:val="20"/>
          <w:szCs w:val="20"/>
          <w:rtl w:val="0"/>
        </w:rPr>
        <w:t xml:space="preserve">f the premises in the designated medical institution following the completion of repair works, through the provision of essential furniture, technical appliances and medical beds. The assignment includes the supply, delivery, and set-up (where applicable).</w:t>
      </w:r>
      <w:r>
        <w:rPr>
          <w:rFonts w:ascii="Arial" w:hAnsi="Arial" w:eastAsia="Arial" w:cs="Arial"/>
          <w:sz w:val="20"/>
          <w:szCs w:val="20"/>
        </w:rPr>
      </w:r>
      <w:r>
        <w:rPr>
          <w:rFonts w:ascii="Arial" w:hAnsi="Arial" w:eastAsia="Arial" w:cs="Arial"/>
          <w:sz w:val="20"/>
          <w:szCs w:val="20"/>
        </w:rPr>
      </w:r>
    </w:p>
    <w:p w14:paraId="0000001A">
      <w:pPr>
        <w:pBdr/>
        <w:spacing w:line="276" w:lineRule="auto"/>
        <w:ind/>
        <w:jc w:val="both"/>
        <w:rPr>
          <w:rFonts w:ascii="Arial" w:hAnsi="Arial" w:eastAsia="Arial" w:cs="Arial"/>
          <w:sz w:val="20"/>
          <w:szCs w:val="20"/>
        </w:rPr>
      </w:pPr>
      <w:r>
        <w:rPr>
          <w:rFonts w:ascii="Arial" w:hAnsi="Arial" w:eastAsia="Arial" w:cs="Arial"/>
          <w:sz w:val="20"/>
          <w:szCs w:val="20"/>
          <w:rtl w:val="0"/>
        </w:rPr>
        <w:t xml:space="preserve">The</w:t>
      </w:r>
      <w:r>
        <w:rPr>
          <w:rFonts w:ascii="Arial" w:hAnsi="Arial" w:eastAsia="Arial" w:cs="Arial"/>
          <w:sz w:val="20"/>
          <w:szCs w:val="20"/>
          <w:rtl w:val="0"/>
        </w:rPr>
        <w:t xml:space="preserve"> specific objective of the assignment is to provide and install the required furniture, technical appliances, and medical equipment for the designated medical facility in order to ensure its continuous operation and effective performance of its activities.</w:t>
      </w:r>
      <w:r>
        <w:rPr>
          <w:rFonts w:ascii="Arial" w:hAnsi="Arial" w:eastAsia="Arial" w:cs="Arial"/>
          <w:sz w:val="20"/>
          <w:szCs w:val="20"/>
        </w:rPr>
      </w:r>
      <w:r>
        <w:rPr>
          <w:rFonts w:ascii="Arial" w:hAnsi="Arial" w:eastAsia="Arial" w:cs="Arial"/>
          <w:sz w:val="20"/>
          <w:szCs w:val="20"/>
        </w:rPr>
      </w:r>
    </w:p>
    <w:p w14:paraId="0000001B">
      <w:pPr>
        <w:pBdr/>
        <w:spacing w:line="276" w:lineRule="auto"/>
        <w:ind/>
        <w:jc w:val="both"/>
        <w:rPr>
          <w:rFonts w:ascii="Arial" w:hAnsi="Arial" w:eastAsia="Arial" w:cs="Arial"/>
          <w:sz w:val="20"/>
          <w:szCs w:val="20"/>
        </w:rPr>
      </w:pPr>
      <w:r>
        <w:rPr>
          <w:rtl w:val="0"/>
        </w:rPr>
      </w:r>
      <w:r>
        <w:rPr>
          <w:rFonts w:ascii="Arial" w:hAnsi="Arial" w:eastAsia="Arial" w:cs="Arial"/>
          <w:sz w:val="20"/>
          <w:szCs w:val="20"/>
        </w:rPr>
      </w:r>
      <w:r>
        <w:rPr>
          <w:rFonts w:ascii="Arial" w:hAnsi="Arial" w:eastAsia="Arial" w:cs="Arial"/>
          <w:sz w:val="20"/>
          <w:szCs w:val="20"/>
        </w:rPr>
      </w:r>
    </w:p>
    <w:p w14:paraId="0000001C">
      <w:pPr>
        <w:pBdr/>
        <w:spacing w:after="240" w:line="276" w:lineRule="auto"/>
        <w:ind/>
        <w:jc w:val="both"/>
        <w:rPr>
          <w:rFonts w:ascii="Arial" w:hAnsi="Arial" w:eastAsia="Arial" w:cs="Arial"/>
          <w:sz w:val="20"/>
          <w:szCs w:val="20"/>
        </w:rPr>
      </w:pPr>
      <w:r>
        <w:rPr>
          <w:rFonts w:ascii="Arial" w:hAnsi="Arial" w:eastAsia="Arial" w:cs="Arial"/>
          <w:sz w:val="20"/>
          <w:szCs w:val="20"/>
          <w:rtl w:val="0"/>
        </w:rPr>
        <w:t xml:space="preserve">The sanitary equipment will be assigned to the healthcare institution, which will be communicated at a later stage to the selected provider. A detailed list of items and technical specifications is provided in </w:t>
      </w:r>
      <w:r>
        <w:rPr>
          <w:rFonts w:ascii="Arial" w:hAnsi="Arial" w:eastAsia="Arial" w:cs="Arial"/>
          <w:sz w:val="20"/>
          <w:szCs w:val="20"/>
          <w:u w:val="single"/>
          <w:rtl w:val="0"/>
        </w:rPr>
        <w:t xml:space="preserve">Annex 2 – Financial Proposal</w:t>
      </w:r>
      <w:r>
        <w:rPr>
          <w:rFonts w:ascii="Arial" w:hAnsi="Arial" w:eastAsia="Arial" w:cs="Arial"/>
          <w:sz w:val="20"/>
          <w:szCs w:val="20"/>
          <w:rtl w:val="0"/>
        </w:rPr>
        <w:t xml:space="preserve">.</w:t>
      </w:r>
      <w:r>
        <w:rPr>
          <w:rFonts w:ascii="Arial" w:hAnsi="Arial" w:eastAsia="Arial" w:cs="Arial"/>
          <w:sz w:val="20"/>
          <w:szCs w:val="20"/>
        </w:rPr>
      </w:r>
      <w:r>
        <w:rPr>
          <w:rFonts w:ascii="Arial" w:hAnsi="Arial" w:eastAsia="Arial" w:cs="Arial"/>
          <w:sz w:val="20"/>
          <w:szCs w:val="20"/>
        </w:rPr>
      </w:r>
    </w:p>
    <w:p w14:paraId="0000001D">
      <w:pPr>
        <w:pBdr/>
        <w:spacing/>
        <w:ind/>
        <w:rPr>
          <w:rFonts w:ascii="Arial" w:hAnsi="Arial" w:eastAsia="Arial" w:cs="Arial"/>
          <w:sz w:val="20"/>
          <w:szCs w:val="20"/>
        </w:rPr>
      </w:pPr>
      <w:r>
        <w:rPr>
          <w:rFonts w:ascii="Arial" w:hAnsi="Arial" w:eastAsia="Arial" w:cs="Arial"/>
          <w:sz w:val="20"/>
          <w:szCs w:val="20"/>
          <w:u w:val="single"/>
          <w:rtl w:val="0"/>
        </w:rPr>
        <w:t xml:space="preserve">Requirements for the Supplier</w:t>
      </w:r>
      <w:r>
        <w:rPr>
          <w:rFonts w:ascii="Arial" w:hAnsi="Arial" w:eastAsia="Arial" w:cs="Arial"/>
          <w:sz w:val="20"/>
          <w:szCs w:val="20"/>
        </w:rPr>
      </w:r>
      <w:r>
        <w:rPr>
          <w:rFonts w:ascii="Arial" w:hAnsi="Arial" w:eastAsia="Arial" w:cs="Arial"/>
          <w:sz w:val="20"/>
          <w:szCs w:val="20"/>
        </w:rPr>
      </w:r>
    </w:p>
    <w:p w14:paraId="0000001E">
      <w:pPr>
        <w:pBdr/>
        <w:spacing w:line="276" w:lineRule="auto"/>
        <w:ind/>
        <w:jc w:val="both"/>
        <w:rPr>
          <w:rFonts w:ascii="Arial" w:hAnsi="Arial" w:eastAsia="Arial" w:cs="Arial"/>
          <w:sz w:val="20"/>
          <w:szCs w:val="20"/>
        </w:rPr>
      </w:pPr>
      <w:r>
        <w:rPr>
          <w:rFonts w:ascii="Arial" w:hAnsi="Arial" w:eastAsia="Arial" w:cs="Arial"/>
          <w:sz w:val="20"/>
          <w:szCs w:val="20"/>
          <w:rtl w:val="0"/>
        </w:rPr>
        <w:t xml:space="preserve">The Supplier must meet the following minimum qualifications:</w:t>
      </w:r>
      <w:r>
        <w:rPr>
          <w:rFonts w:ascii="Arial" w:hAnsi="Arial" w:eastAsia="Arial" w:cs="Arial"/>
          <w:sz w:val="20"/>
          <w:szCs w:val="20"/>
        </w:rPr>
      </w:r>
      <w:r>
        <w:rPr>
          <w:rFonts w:ascii="Arial" w:hAnsi="Arial" w:eastAsia="Arial" w:cs="Arial"/>
          <w:sz w:val="20"/>
          <w:szCs w:val="20"/>
        </w:rPr>
      </w:r>
    </w:p>
    <w:p w14:paraId="0000001F">
      <w:pPr>
        <w:numPr>
          <w:ilvl w:val="0"/>
          <w:numId w:val="10"/>
        </w:numPr>
        <w:pBdr>
          <w:top w:val="none" w:color="000000" w:sz="0" w:space="0"/>
          <w:left w:val="none" w:color="000000" w:sz="0" w:space="0"/>
          <w:bottom w:val="none" w:color="000000" w:sz="0" w:space="0"/>
          <w:right w:val="none" w:color="000000" w:sz="0" w:space="0"/>
          <w:between w:val="none" w:color="000000" w:sz="0" w:space="0"/>
        </w:pBdr>
        <w:spacing w:line="276" w:lineRule="auto"/>
        <w:ind w:hanging="360" w:left="720"/>
        <w:jc w:val="both"/>
        <w:rPr>
          <w:rFonts w:ascii="Arial" w:hAnsi="Arial" w:eastAsia="Arial" w:cs="Arial"/>
          <w:color w:val="000000"/>
          <w:sz w:val="20"/>
          <w:szCs w:val="20"/>
        </w:rPr>
      </w:pPr>
      <w:r>
        <w:rPr>
          <w:rFonts w:ascii="Arial" w:hAnsi="Arial" w:eastAsia="Arial" w:cs="Arial"/>
          <w:color w:val="000000"/>
          <w:sz w:val="20"/>
          <w:szCs w:val="20"/>
          <w:rtl w:val="0"/>
        </w:rPr>
        <w:t xml:space="preserve">Product quality</w:t>
      </w:r>
      <w:r>
        <w:rPr>
          <w:rFonts w:ascii="Arial" w:hAnsi="Arial" w:eastAsia="Arial" w:cs="Arial"/>
          <w:color w:val="000000"/>
          <w:sz w:val="20"/>
          <w:szCs w:val="20"/>
        </w:rPr>
      </w:r>
      <w:r>
        <w:rPr>
          <w:rFonts w:ascii="Arial" w:hAnsi="Arial" w:eastAsia="Arial" w:cs="Arial"/>
          <w:color w:val="000000"/>
          <w:sz w:val="20"/>
          <w:szCs w:val="20"/>
        </w:rPr>
      </w:r>
    </w:p>
    <w:p w14:paraId="00000020">
      <w:pPr>
        <w:keepNext w:val="false"/>
        <w:keepLines w:val="false"/>
        <w:pageBreakBefore w:val="false"/>
        <w:widowControl w:val="true"/>
        <w:numPr>
          <w:ilvl w:val="0"/>
          <w:numId w:val="11"/>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14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all items must be new, unused, free from defects and mechanical damage, and delivered in proper packaging;</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21">
      <w:pPr>
        <w:keepNext w:val="false"/>
        <w:keepLines w:val="false"/>
        <w:pageBreakBefore w:val="false"/>
        <w:widowControl w:val="true"/>
        <w:numPr>
          <w:ilvl w:val="0"/>
          <w:numId w:val="11"/>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14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marterials must be durable, easy to clean, and suitable for use in h</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ealthcare facilities; they must be resistant to disinfectant solutions, capable of withstanding regular sanitization, and free of porous surfaces where bacteria can accumulate; the design must also ensure safety, avoiding sharp corners or protruding parts;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22">
      <w:pPr>
        <w:keepNext w:val="false"/>
        <w:keepLines w:val="false"/>
        <w:pageBreakBefore w:val="false"/>
        <w:widowControl w:val="true"/>
        <w:numPr>
          <w:ilvl w:val="0"/>
          <w:numId w:val="11"/>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14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the product packaging must ensure the preservation of the product’s quality and integrity; the packaging and </w:t>
      </w:r>
      <w:r>
        <w:rPr>
          <w:rFonts w:ascii="Arial" w:hAnsi="Arial" w:eastAsia="Arial" w:cs="Arial"/>
          <w:sz w:val="20"/>
          <w:szCs w:val="20"/>
          <w:rtl w:val="0"/>
        </w:rPr>
        <w:t xml:space="preserve">labeling</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must comply with the requirements of Ukrainian law (supporting document – warranty certificate) and </w:t>
      </w:r>
      <w:r>
        <w:rPr>
          <w:rFonts w:ascii="Arial" w:hAnsi="Arial" w:eastAsia="Arial" w:cs="Arial"/>
          <w:sz w:val="20"/>
          <w:szCs w:val="20"/>
          <w:rtl w:val="0"/>
        </w:rPr>
        <w:t xml:space="preserve">be </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complete in accordance with the manufacturer’s documentation.</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23">
      <w:pPr>
        <w:keepNext w:val="false"/>
        <w:keepLines w:val="false"/>
        <w:pageBreakBefore w:val="false"/>
        <w:widowControl w:val="true"/>
        <w:numPr>
          <w:ilvl w:val="0"/>
          <w:numId w:val="8"/>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Authorized dealer or reseller status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24">
      <w:pPr>
        <w:keepNext w:val="false"/>
        <w:keepLines w:val="false"/>
        <w:pageBreakBefore w:val="false"/>
        <w:widowControl w:val="true"/>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14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the Supplier must be an authorized dealer or official distributor of the sanitary equipment.</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25">
      <w:pPr>
        <w:keepNext w:val="false"/>
        <w:keepLines w:val="false"/>
        <w:pageBreakBefore w:val="false"/>
        <w:widowControl w:val="true"/>
        <w:numPr>
          <w:ilvl w:val="0"/>
          <w:numId w:val="8"/>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Service and maintenance capacity</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26">
      <w:pPr>
        <w:numPr>
          <w:ilvl w:val="1"/>
          <w:numId w:val="8"/>
        </w:numPr>
        <w:pBdr/>
        <w:spacing w:line="276" w:lineRule="auto"/>
        <w:ind w:hanging="360" w:left="1440"/>
        <w:jc w:val="both"/>
        <w:rPr>
          <w:rFonts w:ascii="Arial" w:hAnsi="Arial" w:eastAsia="Arial" w:cs="Arial"/>
          <w:sz w:val="20"/>
          <w:szCs w:val="20"/>
        </w:rPr>
      </w:pPr>
      <w:r>
        <w:rPr>
          <w:rFonts w:ascii="Arial" w:hAnsi="Arial" w:eastAsia="Arial" w:cs="Arial"/>
          <w:sz w:val="20"/>
          <w:szCs w:val="20"/>
          <w:rtl w:val="0"/>
        </w:rPr>
        <w:t xml:space="preserve">the Supplier must ensure access to authorized service centers across Ukraine for all proposed sanitary equipment;</w:t>
      </w:r>
      <w:r>
        <w:rPr>
          <w:rFonts w:ascii="Arial" w:hAnsi="Arial" w:eastAsia="Arial" w:cs="Arial"/>
          <w:sz w:val="20"/>
          <w:szCs w:val="20"/>
        </w:rPr>
      </w:r>
      <w:r>
        <w:rPr>
          <w:rFonts w:ascii="Arial" w:hAnsi="Arial" w:eastAsia="Arial" w:cs="Arial"/>
          <w:sz w:val="20"/>
          <w:szCs w:val="20"/>
        </w:rPr>
      </w:r>
    </w:p>
    <w:p w14:paraId="00000027">
      <w:pPr>
        <w:numPr>
          <w:ilvl w:val="1"/>
          <w:numId w:val="8"/>
        </w:numPr>
        <w:pBdr/>
        <w:spacing w:line="276" w:lineRule="auto"/>
        <w:ind w:hanging="360" w:left="1440"/>
        <w:jc w:val="both"/>
        <w:rPr>
          <w:rFonts w:ascii="Arial" w:hAnsi="Arial" w:eastAsia="Arial" w:cs="Arial"/>
          <w:sz w:val="20"/>
          <w:szCs w:val="20"/>
        </w:rPr>
      </w:pPr>
      <w:r>
        <w:rPr>
          <w:rFonts w:ascii="Arial" w:hAnsi="Arial" w:eastAsia="Arial" w:cs="Arial"/>
          <w:sz w:val="20"/>
          <w:szCs w:val="20"/>
          <w:rtl w:val="0"/>
        </w:rPr>
        <w:t xml:space="preserve">the Supplier must guarantee the availability of spare parts throughout the entire warranty period.</w:t>
      </w:r>
      <w:r>
        <w:rPr>
          <w:rFonts w:ascii="Arial" w:hAnsi="Arial" w:eastAsia="Arial" w:cs="Arial"/>
          <w:sz w:val="20"/>
          <w:szCs w:val="20"/>
        </w:rPr>
      </w:r>
      <w:r>
        <w:rPr>
          <w:rFonts w:ascii="Arial" w:hAnsi="Arial" w:eastAsia="Arial" w:cs="Arial"/>
          <w:sz w:val="20"/>
          <w:szCs w:val="20"/>
        </w:rPr>
      </w:r>
    </w:p>
    <w:p w14:paraId="00000028">
      <w:pPr>
        <w:numPr>
          <w:ilvl w:val="0"/>
          <w:numId w:val="8"/>
        </w:numPr>
        <w:pBdr/>
        <w:spacing w:line="276" w:lineRule="auto"/>
        <w:ind w:hanging="360" w:left="720"/>
        <w:jc w:val="both"/>
        <w:rPr>
          <w:rFonts w:ascii="Arial" w:hAnsi="Arial" w:eastAsia="Arial" w:cs="Arial"/>
          <w:sz w:val="20"/>
          <w:szCs w:val="20"/>
        </w:rPr>
      </w:pPr>
      <w:r>
        <w:rPr>
          <w:rFonts w:ascii="Arial" w:hAnsi="Arial" w:eastAsia="Arial" w:cs="Arial"/>
          <w:sz w:val="20"/>
          <w:szCs w:val="20"/>
          <w:rtl w:val="0"/>
        </w:rPr>
        <w:t xml:space="preserve">Delivery</w:t>
      </w:r>
      <w:r>
        <w:rPr>
          <w:rFonts w:ascii="Arial" w:hAnsi="Arial" w:eastAsia="Arial" w:cs="Arial"/>
          <w:sz w:val="20"/>
          <w:szCs w:val="20"/>
        </w:rPr>
      </w:r>
      <w:r>
        <w:rPr>
          <w:rFonts w:ascii="Arial" w:hAnsi="Arial" w:eastAsia="Arial" w:cs="Arial"/>
          <w:sz w:val="20"/>
          <w:szCs w:val="20"/>
        </w:rPr>
      </w:r>
    </w:p>
    <w:p w14:paraId="00000029">
      <w:pPr>
        <w:numPr>
          <w:ilvl w:val="1"/>
          <w:numId w:val="8"/>
        </w:numPr>
        <w:pBdr/>
        <w:spacing w:line="276" w:lineRule="auto"/>
        <w:ind w:hanging="360" w:left="1440"/>
        <w:jc w:val="both"/>
        <w:rPr>
          <w:rFonts w:ascii="Arial" w:hAnsi="Arial" w:eastAsia="Arial" w:cs="Arial"/>
          <w:sz w:val="20"/>
          <w:szCs w:val="20"/>
        </w:rPr>
      </w:pPr>
      <w:r>
        <w:rPr>
          <w:rFonts w:ascii="Arial" w:hAnsi="Arial" w:eastAsia="Arial" w:cs="Arial"/>
          <w:sz w:val="20"/>
          <w:szCs w:val="20"/>
          <w:rtl w:val="0"/>
        </w:rPr>
        <w:t xml:space="preserve">the Supplier must provide delivery of the equipment to the designated medical institution;</w:t>
      </w:r>
      <w:r>
        <w:rPr>
          <w:rFonts w:ascii="Arial" w:hAnsi="Arial" w:eastAsia="Arial" w:cs="Arial"/>
          <w:sz w:val="20"/>
          <w:szCs w:val="20"/>
        </w:rPr>
      </w:r>
      <w:r>
        <w:rPr>
          <w:rFonts w:ascii="Arial" w:hAnsi="Arial" w:eastAsia="Arial" w:cs="Arial"/>
          <w:sz w:val="20"/>
          <w:szCs w:val="20"/>
        </w:rPr>
      </w:r>
    </w:p>
    <w:p w14:paraId="0000002A">
      <w:pPr>
        <w:numPr>
          <w:ilvl w:val="0"/>
          <w:numId w:val="8"/>
        </w:numPr>
        <w:pBdr/>
        <w:spacing w:line="276" w:lineRule="auto"/>
        <w:ind w:hanging="360" w:left="720"/>
        <w:jc w:val="both"/>
        <w:rPr>
          <w:rFonts w:ascii="Arial" w:hAnsi="Arial" w:eastAsia="Arial" w:cs="Arial"/>
          <w:sz w:val="20"/>
          <w:szCs w:val="20"/>
        </w:rPr>
      </w:pPr>
      <w:r>
        <w:rPr>
          <w:rFonts w:ascii="Arial" w:hAnsi="Arial" w:eastAsia="Arial" w:cs="Arial"/>
          <w:sz w:val="20"/>
          <w:szCs w:val="20"/>
          <w:rtl w:val="0"/>
        </w:rPr>
        <w:t xml:space="preserve">Warranty</w:t>
      </w:r>
      <w:r>
        <w:rPr>
          <w:rFonts w:ascii="Arial" w:hAnsi="Arial" w:eastAsia="Arial" w:cs="Arial"/>
          <w:sz w:val="20"/>
          <w:szCs w:val="20"/>
        </w:rPr>
      </w:r>
      <w:r>
        <w:rPr>
          <w:rFonts w:ascii="Arial" w:hAnsi="Arial" w:eastAsia="Arial" w:cs="Arial"/>
          <w:sz w:val="20"/>
          <w:szCs w:val="20"/>
        </w:rPr>
      </w:r>
    </w:p>
    <w:p w14:paraId="0000002B">
      <w:pPr>
        <w:numPr>
          <w:ilvl w:val="1"/>
          <w:numId w:val="8"/>
        </w:numPr>
        <w:pBdr/>
        <w:spacing w:line="276" w:lineRule="auto"/>
        <w:ind w:hanging="360" w:left="1440"/>
        <w:jc w:val="both"/>
        <w:rPr>
          <w:rFonts w:ascii="Arial" w:hAnsi="Arial" w:eastAsia="Arial" w:cs="Arial"/>
          <w:sz w:val="20"/>
          <w:szCs w:val="20"/>
        </w:rPr>
      </w:pPr>
      <w:r>
        <w:rPr>
          <w:rFonts w:ascii="Arial" w:hAnsi="Arial" w:eastAsia="Arial" w:cs="Arial"/>
          <w:sz w:val="20"/>
          <w:szCs w:val="20"/>
          <w:rtl w:val="0"/>
        </w:rPr>
        <w:t xml:space="preserve">all supplied items must be covered by a minimum warranty of twelve (12) months, or longer where required by the technical nature of the equipment;</w:t>
      </w:r>
      <w:r>
        <w:rPr>
          <w:rFonts w:ascii="Arial" w:hAnsi="Arial" w:eastAsia="Arial" w:cs="Arial"/>
          <w:sz w:val="20"/>
          <w:szCs w:val="20"/>
        </w:rPr>
      </w:r>
      <w:r>
        <w:rPr>
          <w:rFonts w:ascii="Arial" w:hAnsi="Arial" w:eastAsia="Arial" w:cs="Arial"/>
          <w:sz w:val="20"/>
          <w:szCs w:val="20"/>
        </w:rPr>
      </w:r>
    </w:p>
    <w:p w14:paraId="0000002C">
      <w:pPr>
        <w:numPr>
          <w:ilvl w:val="1"/>
          <w:numId w:val="8"/>
        </w:numPr>
        <w:pBdr/>
        <w:spacing w:line="276" w:lineRule="auto"/>
        <w:ind w:hanging="360" w:left="1440"/>
        <w:jc w:val="both"/>
        <w:rPr>
          <w:rFonts w:ascii="Arial" w:hAnsi="Arial" w:eastAsia="Arial" w:cs="Arial"/>
          <w:sz w:val="20"/>
          <w:szCs w:val="20"/>
        </w:rPr>
      </w:pPr>
      <w:r>
        <w:rPr>
          <w:rFonts w:ascii="Arial" w:hAnsi="Arial" w:eastAsia="Arial" w:cs="Arial"/>
          <w:sz w:val="20"/>
          <w:szCs w:val="20"/>
          <w:rtl w:val="0"/>
        </w:rPr>
        <w:t xml:space="preserve">the warranty must include free-of-charge repairs, spare parts, and maintenance throughout the warranty period, for issues not caused by the client.</w:t>
      </w:r>
      <w:r>
        <w:rPr>
          <w:rFonts w:ascii="Arial" w:hAnsi="Arial" w:eastAsia="Arial" w:cs="Arial"/>
          <w:sz w:val="20"/>
          <w:szCs w:val="20"/>
        </w:rPr>
      </w:r>
      <w:r>
        <w:rPr>
          <w:rFonts w:ascii="Arial" w:hAnsi="Arial" w:eastAsia="Arial" w:cs="Arial"/>
          <w:sz w:val="20"/>
          <w:szCs w:val="20"/>
        </w:rPr>
      </w:r>
    </w:p>
    <w:p w14:paraId="0000002D">
      <w:pPr>
        <w:keepNext w:val="false"/>
        <w:keepLines w:val="false"/>
        <w:pageBreakBefore w:val="false"/>
        <w:widowControl w:val="true"/>
        <w:numPr>
          <w:ilvl w:val="0"/>
          <w:numId w:val="8"/>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Certification and compliance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2E">
      <w:pPr>
        <w:numPr>
          <w:ilvl w:val="1"/>
          <w:numId w:val="8"/>
        </w:numPr>
        <w:pBdr/>
        <w:spacing w:line="276" w:lineRule="auto"/>
        <w:ind w:hanging="360" w:left="1440"/>
        <w:jc w:val="both"/>
        <w:rPr>
          <w:rFonts w:ascii="Arial" w:hAnsi="Arial" w:eastAsia="Arial" w:cs="Arial"/>
          <w:sz w:val="20"/>
          <w:szCs w:val="20"/>
        </w:rPr>
      </w:pPr>
      <w:r>
        <w:rPr>
          <w:rFonts w:ascii="Arial" w:hAnsi="Arial" w:eastAsia="Arial" w:cs="Arial"/>
          <w:sz w:val="20"/>
          <w:szCs w:val="20"/>
          <w:rtl w:val="0"/>
        </w:rPr>
        <w:t xml:space="preserve">all proposed sanitary equipment must be officially certified in Ukraine and comply with relevant national regulatory standards;</w:t>
      </w:r>
      <w:r>
        <w:rPr>
          <w:rFonts w:ascii="Arial" w:hAnsi="Arial" w:eastAsia="Arial" w:cs="Arial"/>
          <w:sz w:val="20"/>
          <w:szCs w:val="20"/>
        </w:rPr>
      </w:r>
      <w:r>
        <w:rPr>
          <w:rFonts w:ascii="Arial" w:hAnsi="Arial" w:eastAsia="Arial" w:cs="Arial"/>
          <w:sz w:val="20"/>
          <w:szCs w:val="20"/>
        </w:rPr>
      </w:r>
    </w:p>
    <w:p w14:paraId="0000002F">
      <w:pPr>
        <w:numPr>
          <w:ilvl w:val="1"/>
          <w:numId w:val="8"/>
        </w:numPr>
        <w:pBdr/>
        <w:spacing w:line="276" w:lineRule="auto"/>
        <w:ind w:hanging="360" w:left="1440"/>
        <w:jc w:val="both"/>
        <w:rPr>
          <w:rFonts w:ascii="Arial" w:hAnsi="Arial" w:eastAsia="Arial" w:cs="Arial"/>
          <w:sz w:val="20"/>
          <w:szCs w:val="20"/>
        </w:rPr>
      </w:pPr>
      <w:r>
        <w:rPr>
          <w:rFonts w:ascii="Arial" w:hAnsi="Arial" w:eastAsia="Arial" w:cs="Arial"/>
          <w:sz w:val="20"/>
          <w:szCs w:val="20"/>
          <w:rtl w:val="0"/>
        </w:rPr>
        <w:t xml:space="preserve">copies of all relevant certificates, registrations, manufacturer licenses, and Ukrainian conformity documents must be included in the tender submission, if any.</w:t>
      </w:r>
      <w:r>
        <w:rPr>
          <w:rFonts w:ascii="Arial" w:hAnsi="Arial" w:eastAsia="Arial" w:cs="Arial"/>
          <w:sz w:val="20"/>
          <w:szCs w:val="20"/>
        </w:rPr>
      </w:r>
      <w:r>
        <w:rPr>
          <w:rFonts w:ascii="Arial" w:hAnsi="Arial" w:eastAsia="Arial" w:cs="Arial"/>
          <w:sz w:val="20"/>
          <w:szCs w:val="20"/>
        </w:rPr>
      </w:r>
    </w:p>
    <w:p w14:paraId="00000030">
      <w:pPr>
        <w:pBdr/>
        <w:spacing w:line="276" w:lineRule="auto"/>
        <w:ind/>
        <w:jc w:val="both"/>
        <w:rPr>
          <w:rFonts w:ascii="Arial" w:hAnsi="Arial" w:eastAsia="Arial" w:cs="Arial"/>
          <w:sz w:val="20"/>
          <w:szCs w:val="20"/>
        </w:rPr>
      </w:pPr>
      <w:r>
        <w:rPr>
          <w:rtl w:val="0"/>
        </w:rPr>
      </w:r>
      <w:r>
        <w:rPr>
          <w:rFonts w:ascii="Arial" w:hAnsi="Arial" w:eastAsia="Arial" w:cs="Arial"/>
          <w:sz w:val="20"/>
          <w:szCs w:val="20"/>
        </w:rPr>
      </w:r>
      <w:r>
        <w:rPr>
          <w:rFonts w:ascii="Arial" w:hAnsi="Arial" w:eastAsia="Arial" w:cs="Arial"/>
          <w:sz w:val="20"/>
          <w:szCs w:val="20"/>
        </w:rPr>
      </w:r>
    </w:p>
    <w:p w14:paraId="00000031">
      <w:pPr>
        <w:pBdr/>
        <w:spacing w:line="276" w:lineRule="auto"/>
        <w:ind/>
        <w:rPr>
          <w:rFonts w:ascii="Arial" w:hAnsi="Arial" w:eastAsia="Arial" w:cs="Arial"/>
          <w:sz w:val="20"/>
          <w:szCs w:val="20"/>
        </w:rPr>
      </w:pPr>
      <w:r>
        <w:rPr>
          <w:rFonts w:ascii="Arial" w:hAnsi="Arial" w:eastAsia="Arial" w:cs="Arial"/>
          <w:sz w:val="20"/>
          <w:szCs w:val="20"/>
          <w:u w:val="single"/>
          <w:rtl w:val="0"/>
        </w:rPr>
        <w:t xml:space="preserve">Requirements for the reflection in the Proposal</w:t>
      </w:r>
      <w:r>
        <w:rPr>
          <w:rFonts w:ascii="Arial" w:hAnsi="Arial" w:eastAsia="Arial" w:cs="Arial"/>
          <w:sz w:val="20"/>
          <w:szCs w:val="20"/>
        </w:rPr>
      </w:r>
      <w:r>
        <w:rPr>
          <w:rFonts w:ascii="Arial" w:hAnsi="Arial" w:eastAsia="Arial" w:cs="Arial"/>
          <w:sz w:val="20"/>
          <w:szCs w:val="20"/>
        </w:rPr>
      </w:r>
    </w:p>
    <w:p w14:paraId="00000032">
      <w:pPr>
        <w:pBdr/>
        <w:spacing w:line="276" w:lineRule="auto"/>
        <w:ind/>
        <w:rPr>
          <w:rFonts w:ascii="Arial" w:hAnsi="Arial" w:eastAsia="Arial" w:cs="Arial"/>
          <w:sz w:val="20"/>
          <w:szCs w:val="20"/>
        </w:rPr>
      </w:pPr>
      <w:r>
        <w:rPr>
          <w:rFonts w:ascii="Arial" w:hAnsi="Arial" w:eastAsia="Arial" w:cs="Arial"/>
          <w:sz w:val="20"/>
          <w:szCs w:val="20"/>
          <w:rtl w:val="0"/>
        </w:rPr>
        <w:t xml:space="preserve">All proposals submitted by Suppliers must include the following:</w:t>
      </w:r>
      <w:r>
        <w:rPr>
          <w:rFonts w:ascii="Arial" w:hAnsi="Arial" w:eastAsia="Arial" w:cs="Arial"/>
          <w:sz w:val="20"/>
          <w:szCs w:val="20"/>
        </w:rPr>
      </w:r>
      <w:r>
        <w:rPr>
          <w:rFonts w:ascii="Arial" w:hAnsi="Arial" w:eastAsia="Arial" w:cs="Arial"/>
          <w:sz w:val="20"/>
          <w:szCs w:val="20"/>
        </w:rPr>
      </w:r>
    </w:p>
    <w:p w14:paraId="00000033">
      <w:pPr>
        <w:numPr>
          <w:ilvl w:val="0"/>
          <w:numId w:val="3"/>
        </w:numPr>
        <w:pBdr/>
        <w:spacing w:line="276" w:lineRule="auto"/>
        <w:ind w:hanging="360" w:left="720"/>
        <w:rPr>
          <w:rFonts w:ascii="Arial" w:hAnsi="Arial" w:eastAsia="Arial" w:cs="Arial"/>
          <w:sz w:val="20"/>
          <w:szCs w:val="20"/>
        </w:rPr>
      </w:pPr>
      <w:r>
        <w:rPr>
          <w:rFonts w:ascii="Arial" w:hAnsi="Arial" w:eastAsia="Arial" w:cs="Arial"/>
          <w:sz w:val="20"/>
          <w:szCs w:val="20"/>
          <w:rtl w:val="0"/>
        </w:rPr>
        <w:t xml:space="preserve">Detailed technical specifications: complete technical specifications for each item, including:</w:t>
      </w:r>
      <w:r>
        <w:rPr>
          <w:rFonts w:ascii="Arial" w:hAnsi="Arial" w:eastAsia="Arial" w:cs="Arial"/>
          <w:sz w:val="20"/>
          <w:szCs w:val="20"/>
        </w:rPr>
      </w:r>
      <w:r>
        <w:rPr>
          <w:rFonts w:ascii="Arial" w:hAnsi="Arial" w:eastAsia="Arial" w:cs="Arial"/>
          <w:sz w:val="20"/>
          <w:szCs w:val="20"/>
        </w:rPr>
      </w:r>
    </w:p>
    <w:p w14:paraId="00000034">
      <w:pPr>
        <w:keepNext w:val="false"/>
        <w:keepLines w:val="false"/>
        <w:pageBreakBefore w:val="false"/>
        <w:widowControl w:val="tru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14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Item description;</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35">
      <w:pPr>
        <w:keepNext w:val="false"/>
        <w:keepLines w:val="false"/>
        <w:pageBreakBefore w:val="false"/>
        <w:widowControl w:val="tru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14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Model and manufacturer;</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36">
      <w:pPr>
        <w:keepNext w:val="false"/>
        <w:keepLines w:val="false"/>
        <w:pageBreakBefore w:val="false"/>
        <w:widowControl w:val="tru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14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Country of origin;</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37">
      <w:pPr>
        <w:keepNext w:val="false"/>
        <w:keepLines w:val="false"/>
        <w:pageBreakBefore w:val="false"/>
        <w:widowControl w:val="tru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14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Functional characteristics;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38">
      <w:pPr>
        <w:keepNext w:val="false"/>
        <w:keepLines w:val="false"/>
        <w:pageBreakBefore w:val="false"/>
        <w:widowControl w:val="tru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14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Any additional accessories or components included.</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39">
      <w:pPr>
        <w:keepNext w:val="false"/>
        <w:keepLines w:val="false"/>
        <w:pageBreakBefore w:val="false"/>
        <w:widowControl w:val="true"/>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The supply of equivalent products is allowed, provided that their technical, functional, and quality characteristics are not inferior to those specified in this technical specification.</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3A">
      <w:pPr>
        <w:keepNext w:val="false"/>
        <w:keepLines w:val="false"/>
        <w:pageBreakBefore w:val="false"/>
        <w:widowControl w:val="true"/>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If a participant offers a model with superior characteristics, this shall not be grounds for rejection of the proposal, provided it meets the customer’s requirements.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3B">
      <w:pPr>
        <w:numPr>
          <w:ilvl w:val="0"/>
          <w:numId w:val="3"/>
        </w:numPr>
        <w:pBdr/>
        <w:spacing w:line="276" w:lineRule="auto"/>
        <w:ind w:hanging="360" w:left="720"/>
        <w:jc w:val="both"/>
        <w:rPr>
          <w:rFonts w:ascii="Arial" w:hAnsi="Arial" w:eastAsia="Arial" w:cs="Arial"/>
          <w:sz w:val="20"/>
          <w:szCs w:val="20"/>
        </w:rPr>
      </w:pPr>
      <w:r>
        <w:rPr>
          <w:rFonts w:ascii="Arial" w:hAnsi="Arial" w:eastAsia="Arial" w:cs="Arial"/>
          <w:sz w:val="20"/>
          <w:szCs w:val="20"/>
          <w:rtl w:val="0"/>
        </w:rPr>
        <w:t xml:space="preserve">Delivery and installation timeline: the detailed timeline for delivery from the date of Contract signature.</w:t>
      </w:r>
      <w:r>
        <w:rPr>
          <w:rFonts w:ascii="Arial" w:hAnsi="Arial" w:eastAsia="Arial" w:cs="Arial"/>
          <w:sz w:val="20"/>
          <w:szCs w:val="20"/>
        </w:rPr>
      </w:r>
      <w:r>
        <w:rPr>
          <w:rFonts w:ascii="Arial" w:hAnsi="Arial" w:eastAsia="Arial" w:cs="Arial"/>
          <w:sz w:val="20"/>
          <w:szCs w:val="20"/>
        </w:rPr>
      </w:r>
    </w:p>
    <w:p w14:paraId="0000003C">
      <w:pPr>
        <w:numPr>
          <w:ilvl w:val="0"/>
          <w:numId w:val="3"/>
        </w:numPr>
        <w:pBdr/>
        <w:spacing w:line="276" w:lineRule="auto"/>
        <w:ind w:hanging="360" w:left="720"/>
        <w:jc w:val="both"/>
        <w:rPr>
          <w:rFonts w:ascii="Arial" w:hAnsi="Arial" w:eastAsia="Arial" w:cs="Arial"/>
          <w:sz w:val="20"/>
          <w:szCs w:val="20"/>
        </w:rPr>
      </w:pPr>
      <w:r>
        <w:rPr>
          <w:rFonts w:ascii="Arial" w:hAnsi="Arial" w:eastAsia="Arial" w:cs="Arial"/>
          <w:sz w:val="20"/>
          <w:szCs w:val="20"/>
          <w:rtl w:val="0"/>
        </w:rPr>
        <w:t xml:space="preserve">Warranty terms:</w:t>
      </w:r>
      <w:r>
        <w:rPr>
          <w:rFonts w:ascii="Arial" w:hAnsi="Arial" w:eastAsia="Arial" w:cs="Arial"/>
          <w:sz w:val="20"/>
          <w:szCs w:val="20"/>
        </w:rPr>
      </w:r>
      <w:r>
        <w:rPr>
          <w:rFonts w:ascii="Arial" w:hAnsi="Arial" w:eastAsia="Arial" w:cs="Arial"/>
          <w:sz w:val="20"/>
          <w:szCs w:val="20"/>
        </w:rPr>
      </w:r>
    </w:p>
    <w:p w14:paraId="0000003D">
      <w:pPr>
        <w:numPr>
          <w:ilvl w:val="1"/>
          <w:numId w:val="3"/>
        </w:numPr>
        <w:pBdr/>
        <w:spacing w:line="276" w:lineRule="auto"/>
        <w:ind w:hanging="360" w:left="1440"/>
        <w:jc w:val="both"/>
        <w:rPr>
          <w:rFonts w:ascii="Arial" w:hAnsi="Arial" w:eastAsia="Arial" w:cs="Arial"/>
          <w:sz w:val="20"/>
          <w:szCs w:val="20"/>
        </w:rPr>
      </w:pPr>
      <w:r>
        <w:rPr>
          <w:rFonts w:ascii="Arial" w:hAnsi="Arial" w:eastAsia="Arial" w:cs="Arial"/>
          <w:sz w:val="20"/>
          <w:szCs w:val="20"/>
          <w:rtl w:val="0"/>
        </w:rPr>
        <w:t xml:space="preserve">clear statement of warranty duration for each item;</w:t>
      </w:r>
      <w:r>
        <w:rPr>
          <w:rFonts w:ascii="Arial" w:hAnsi="Arial" w:eastAsia="Arial" w:cs="Arial"/>
          <w:sz w:val="20"/>
          <w:szCs w:val="20"/>
        </w:rPr>
      </w:r>
      <w:r>
        <w:rPr>
          <w:rFonts w:ascii="Arial" w:hAnsi="Arial" w:eastAsia="Arial" w:cs="Arial"/>
          <w:sz w:val="20"/>
          <w:szCs w:val="20"/>
        </w:rPr>
      </w:r>
    </w:p>
    <w:p w14:paraId="0000003E">
      <w:pPr>
        <w:numPr>
          <w:ilvl w:val="1"/>
          <w:numId w:val="3"/>
        </w:numPr>
        <w:pBdr/>
        <w:spacing w:line="276" w:lineRule="auto"/>
        <w:ind w:hanging="360" w:left="1440"/>
        <w:jc w:val="both"/>
        <w:rPr>
          <w:rFonts w:ascii="Arial" w:hAnsi="Arial" w:eastAsia="Arial" w:cs="Arial"/>
          <w:sz w:val="20"/>
          <w:szCs w:val="20"/>
        </w:rPr>
      </w:pPr>
      <w:r>
        <w:rPr>
          <w:rFonts w:ascii="Arial" w:hAnsi="Arial" w:eastAsia="Arial" w:cs="Arial"/>
          <w:sz w:val="20"/>
          <w:szCs w:val="20"/>
          <w:rtl w:val="0"/>
        </w:rPr>
        <w:t xml:space="preserve">information on maintenance conditions.</w:t>
      </w:r>
      <w:r>
        <w:rPr>
          <w:rFonts w:ascii="Arial" w:hAnsi="Arial" w:eastAsia="Arial" w:cs="Arial"/>
          <w:sz w:val="20"/>
          <w:szCs w:val="20"/>
        </w:rPr>
      </w:r>
      <w:r>
        <w:rPr>
          <w:rFonts w:ascii="Arial" w:hAnsi="Arial" w:eastAsia="Arial" w:cs="Arial"/>
          <w:sz w:val="20"/>
          <w:szCs w:val="20"/>
        </w:rPr>
      </w:r>
    </w:p>
    <w:p w14:paraId="0000003F">
      <w:pPr>
        <w:numPr>
          <w:ilvl w:val="0"/>
          <w:numId w:val="3"/>
        </w:numPr>
        <w:pBdr/>
        <w:spacing w:line="276" w:lineRule="auto"/>
        <w:ind w:hanging="360" w:left="720"/>
        <w:jc w:val="both"/>
        <w:rPr>
          <w:rFonts w:ascii="Arial" w:hAnsi="Arial" w:eastAsia="Arial" w:cs="Arial"/>
          <w:sz w:val="20"/>
          <w:szCs w:val="20"/>
        </w:rPr>
      </w:pPr>
      <w:r>
        <w:rPr>
          <w:rFonts w:ascii="Arial" w:hAnsi="Arial" w:eastAsia="Arial" w:cs="Arial"/>
          <w:sz w:val="20"/>
          <w:szCs w:val="20"/>
          <w:rtl w:val="0"/>
        </w:rPr>
        <w:t xml:space="preserve">Service network information: a list of authorized service centers available in Ukraine, including contact details.</w:t>
      </w:r>
      <w:r>
        <w:rPr>
          <w:rFonts w:ascii="Arial" w:hAnsi="Arial" w:eastAsia="Arial" w:cs="Arial"/>
          <w:sz w:val="20"/>
          <w:szCs w:val="20"/>
        </w:rPr>
      </w:r>
      <w:r>
        <w:rPr>
          <w:rFonts w:ascii="Arial" w:hAnsi="Arial" w:eastAsia="Arial" w:cs="Arial"/>
          <w:sz w:val="20"/>
          <w:szCs w:val="20"/>
        </w:rPr>
      </w:r>
    </w:p>
    <w:p w14:paraId="00000040">
      <w:pPr>
        <w:numPr>
          <w:ilvl w:val="0"/>
          <w:numId w:val="3"/>
        </w:numPr>
        <w:pBdr/>
        <w:spacing w:line="276" w:lineRule="auto"/>
        <w:ind w:hanging="360" w:left="720"/>
        <w:jc w:val="both"/>
        <w:rPr>
          <w:rFonts w:ascii="Arial" w:hAnsi="Arial" w:eastAsia="Arial" w:cs="Arial"/>
          <w:sz w:val="20"/>
          <w:szCs w:val="20"/>
        </w:rPr>
      </w:pPr>
      <w:r>
        <w:rPr>
          <w:rFonts w:ascii="Arial" w:hAnsi="Arial" w:eastAsia="Arial" w:cs="Arial"/>
          <w:sz w:val="20"/>
          <w:szCs w:val="20"/>
          <w:rtl w:val="0"/>
        </w:rPr>
        <w:t xml:space="preserve">Relevant certifications: copies of all required Ukrainian certifications and manufacturer authorizations.</w:t>
      </w:r>
      <w:r>
        <w:rPr>
          <w:rFonts w:ascii="Arial" w:hAnsi="Arial" w:eastAsia="Arial" w:cs="Arial"/>
          <w:sz w:val="20"/>
          <w:szCs w:val="20"/>
        </w:rPr>
      </w:r>
      <w:r>
        <w:rPr>
          <w:rFonts w:ascii="Arial" w:hAnsi="Arial" w:eastAsia="Arial" w:cs="Arial"/>
          <w:sz w:val="20"/>
          <w:szCs w:val="20"/>
        </w:rPr>
      </w:r>
    </w:p>
    <w:p w14:paraId="00000041">
      <w:pPr>
        <w:numPr>
          <w:ilvl w:val="0"/>
          <w:numId w:val="3"/>
        </w:numPr>
        <w:pBdr/>
        <w:spacing w:line="276" w:lineRule="auto"/>
        <w:ind w:hanging="360" w:left="720"/>
        <w:jc w:val="both"/>
        <w:rPr>
          <w:rFonts w:ascii="Arial" w:hAnsi="Arial" w:eastAsia="Arial" w:cs="Arial"/>
          <w:sz w:val="20"/>
          <w:szCs w:val="20"/>
        </w:rPr>
      </w:pPr>
      <w:r>
        <w:rPr>
          <w:rFonts w:ascii="Arial" w:hAnsi="Arial" w:eastAsia="Arial" w:cs="Arial"/>
          <w:sz w:val="20"/>
          <w:szCs w:val="20"/>
          <w:rtl w:val="0"/>
        </w:rPr>
        <w:t xml:space="preserve">All supporting documents, certificates, and technical materials must be submitted in Ukrainian and additionally in English. If issued in another language, certified translations must be provided.</w:t>
      </w:r>
      <w:r>
        <w:rPr>
          <w:rFonts w:ascii="Arial" w:hAnsi="Arial" w:eastAsia="Arial" w:cs="Arial"/>
          <w:sz w:val="20"/>
          <w:szCs w:val="20"/>
        </w:rPr>
      </w:r>
      <w:r>
        <w:rPr>
          <w:rFonts w:ascii="Arial" w:hAnsi="Arial" w:eastAsia="Arial" w:cs="Arial"/>
          <w:sz w:val="20"/>
          <w:szCs w:val="20"/>
        </w:rPr>
      </w:r>
    </w:p>
    <w:p w14:paraId="00000042">
      <w:pPr>
        <w:pBdr/>
        <w:spacing w:line="276" w:lineRule="auto"/>
        <w:ind/>
        <w:rPr>
          <w:rFonts w:ascii="Arial" w:hAnsi="Arial" w:eastAsia="Arial" w:cs="Arial"/>
          <w:sz w:val="20"/>
          <w:szCs w:val="20"/>
        </w:rPr>
      </w:pPr>
      <w:r>
        <w:rPr>
          <w:rtl w:val="0"/>
        </w:rPr>
      </w:r>
      <w:r>
        <w:rPr>
          <w:rFonts w:ascii="Arial" w:hAnsi="Arial" w:eastAsia="Arial" w:cs="Arial"/>
          <w:sz w:val="20"/>
          <w:szCs w:val="20"/>
        </w:rPr>
      </w:r>
      <w:r>
        <w:rPr>
          <w:rFonts w:ascii="Arial" w:hAnsi="Arial" w:eastAsia="Arial" w:cs="Arial"/>
          <w:sz w:val="20"/>
          <w:szCs w:val="20"/>
        </w:rPr>
      </w:r>
    </w:p>
    <w:p w14:paraId="00000043">
      <w:pPr>
        <w:numPr>
          <w:ilvl w:val="0"/>
          <w:numId w:val="1"/>
        </w:numPr>
        <w:pBdr/>
        <w:shd w:val="clear" w:color="auto" w:fill="e6e6e6"/>
        <w:spacing w:line="276" w:lineRule="auto"/>
        <w:ind w:hanging="180" w:left="180"/>
        <w:rPr>
          <w:rFonts w:ascii="Arial" w:hAnsi="Arial" w:eastAsia="Arial" w:cs="Arial"/>
          <w:b/>
          <w:bCs/>
          <w:sz w:val="20"/>
          <w:szCs w:val="20"/>
        </w:rPr>
      </w:pPr>
      <w:r>
        <w:rPr>
          <w:rFonts w:ascii="Arial" w:hAnsi="Arial" w:eastAsia="Arial" w:cs="Arial"/>
          <w:b/>
          <w:bCs/>
          <w:sz w:val="20"/>
          <w:szCs w:val="20"/>
          <w:rtl w:val="0"/>
        </w:rPr>
        <w:t xml:space="preserve">Coordination</w:t>
      </w:r>
      <w:r>
        <w:rPr>
          <w:rFonts w:ascii="Arial" w:hAnsi="Arial" w:eastAsia="Arial" w:cs="Arial"/>
          <w:b/>
          <w:bCs/>
          <w:sz w:val="20"/>
          <w:szCs w:val="20"/>
        </w:rPr>
      </w:r>
      <w:r>
        <w:rPr>
          <w:rFonts w:ascii="Arial" w:hAnsi="Arial" w:eastAsia="Arial" w:cs="Arial"/>
          <w:b/>
          <w:bCs/>
          <w:sz w:val="20"/>
          <w:szCs w:val="20"/>
        </w:rPr>
      </w:r>
    </w:p>
    <w:p w14:paraId="00000044">
      <w:pPr>
        <w:pBdr/>
        <w:spacing w:line="276" w:lineRule="auto"/>
        <w:ind/>
        <w:rPr>
          <w:rFonts w:ascii="Arial" w:hAnsi="Arial" w:eastAsia="Arial" w:cs="Arial"/>
          <w:sz w:val="20"/>
          <w:szCs w:val="20"/>
          <w:highlight w:val="cyan"/>
        </w:rPr>
      </w:pPr>
      <w:r>
        <w:rPr>
          <w:rtl w:val="0"/>
        </w:rPr>
      </w:r>
      <w:r>
        <w:rPr>
          <w:rFonts w:ascii="Arial" w:hAnsi="Arial" w:eastAsia="Arial" w:cs="Arial"/>
          <w:sz w:val="20"/>
          <w:szCs w:val="20"/>
          <w:highlight w:val="cyan"/>
        </w:rPr>
      </w:r>
      <w:r>
        <w:rPr>
          <w:rFonts w:ascii="Arial" w:hAnsi="Arial" w:eastAsia="Arial" w:cs="Arial"/>
          <w:sz w:val="20"/>
          <w:szCs w:val="20"/>
          <w:highlight w:val="cyan"/>
        </w:rPr>
      </w:r>
    </w:p>
    <w:p w14:paraId="00000045">
      <w:pPr>
        <w:pBdr/>
        <w:spacing w:after="240" w:line="276" w:lineRule="auto"/>
        <w:ind/>
        <w:jc w:val="both"/>
        <w:rPr>
          <w:rFonts w:ascii="Arial" w:hAnsi="Arial" w:eastAsia="Arial" w:cs="Arial"/>
          <w:sz w:val="20"/>
          <w:szCs w:val="20"/>
        </w:rPr>
      </w:pPr>
      <w:r>
        <w:rPr>
          <w:rFonts w:ascii="Arial" w:hAnsi="Arial" w:eastAsia="Arial" w:cs="Arial"/>
          <w:sz w:val="20"/>
          <w:szCs w:val="20"/>
          <w:rtl w:val="0"/>
        </w:rPr>
        <w:t xml:space="preserve">The assignment is expected to be completed by 15 May, 2026. All activities and implementation details must be coordinated and confirmed in advance with the designated focal point at Expertise France.</w:t>
      </w:r>
      <w:r>
        <w:rPr>
          <w:rFonts w:ascii="Arial" w:hAnsi="Arial" w:eastAsia="Arial" w:cs="Arial"/>
          <w:sz w:val="20"/>
          <w:szCs w:val="20"/>
        </w:rPr>
      </w:r>
      <w:r>
        <w:rPr>
          <w:rFonts w:ascii="Arial" w:hAnsi="Arial" w:eastAsia="Arial" w:cs="Arial"/>
          <w:sz w:val="20"/>
          <w:szCs w:val="20"/>
        </w:rPr>
      </w:r>
    </w:p>
    <w:p w14:paraId="00000046">
      <w:pPr>
        <w:pBdr/>
        <w:spacing w:line="276" w:lineRule="auto"/>
        <w:ind/>
        <w:jc w:val="both"/>
        <w:rPr>
          <w:rFonts w:ascii="Arial" w:hAnsi="Arial" w:eastAsia="Arial" w:cs="Arial"/>
          <w:sz w:val="20"/>
          <w:szCs w:val="20"/>
        </w:rPr>
      </w:pPr>
      <w:r>
        <w:rPr>
          <w:rFonts w:ascii="Arial" w:hAnsi="Arial" w:eastAsia="Arial" w:cs="Arial"/>
          <w:sz w:val="20"/>
          <w:szCs w:val="20"/>
          <w:rtl w:val="0"/>
        </w:rPr>
        <w:t xml:space="preserve">In addition to the contact person specified in the A</w:t>
      </w:r>
      <w:r>
        <w:rPr>
          <w:rFonts w:ascii="Arial" w:hAnsi="Arial" w:eastAsia="Arial" w:cs="Arial"/>
          <w:sz w:val="20"/>
          <w:szCs w:val="20"/>
          <w:rtl w:val="0"/>
        </w:rPr>
        <w:t xml:space="preserve">greement for contractual, financial, and administrative matters, close operational coordination must be established and maintained from the outset and throughout the duration of the Contract with the designated operational contact person: Hanna Niemtsova; </w:t>
      </w:r>
      <w:hyperlink r:id="rId16" w:tooltip="mailto:hanna.niemtsova@expertisefrance.fr" w:history="1">
        <w:r>
          <w:rPr>
            <w:rFonts w:ascii="Arial" w:hAnsi="Arial" w:eastAsia="Arial" w:cs="Arial"/>
            <w:color w:val="0000ff"/>
            <w:sz w:val="20"/>
            <w:szCs w:val="20"/>
            <w:u w:val="single"/>
            <w:rtl w:val="0"/>
          </w:rPr>
          <w:t xml:space="preserve">hanna.niemtsova@expertisefrance.fr</w:t>
        </w:r>
      </w:hyperlink>
      <w:r>
        <w:rPr>
          <w:rFonts w:ascii="Arial" w:hAnsi="Arial" w:eastAsia="Arial" w:cs="Arial"/>
          <w:sz w:val="20"/>
          <w:szCs w:val="20"/>
          <w:rtl w:val="0"/>
        </w:rPr>
        <w:t xml:space="preserve">. </w:t>
      </w:r>
      <w:r>
        <w:rPr>
          <w:rFonts w:ascii="Arial" w:hAnsi="Arial" w:eastAsia="Arial" w:cs="Arial"/>
          <w:sz w:val="20"/>
          <w:szCs w:val="20"/>
        </w:rPr>
      </w:r>
      <w:r>
        <w:rPr>
          <w:rFonts w:ascii="Arial" w:hAnsi="Arial" w:eastAsia="Arial" w:cs="Arial"/>
          <w:sz w:val="20"/>
          <w:szCs w:val="20"/>
        </w:rPr>
      </w:r>
    </w:p>
    <w:p w14:paraId="00000047">
      <w:pPr>
        <w:pBdr/>
        <w:spacing w:line="276" w:lineRule="auto"/>
        <w:ind/>
        <w:rPr>
          <w:rFonts w:ascii="Arial" w:hAnsi="Arial" w:eastAsia="Arial" w:cs="Arial"/>
          <w:sz w:val="20"/>
          <w:szCs w:val="20"/>
        </w:rPr>
      </w:pPr>
      <w:r>
        <w:rPr>
          <w:rtl w:val="0"/>
        </w:rPr>
      </w:r>
      <w:r>
        <w:rPr>
          <w:rFonts w:ascii="Arial" w:hAnsi="Arial" w:eastAsia="Arial" w:cs="Arial"/>
          <w:sz w:val="20"/>
          <w:szCs w:val="20"/>
        </w:rPr>
      </w:r>
      <w:r>
        <w:rPr>
          <w:rFonts w:ascii="Arial" w:hAnsi="Arial" w:eastAsia="Arial" w:cs="Arial"/>
          <w:sz w:val="20"/>
          <w:szCs w:val="20"/>
        </w:rPr>
      </w:r>
    </w:p>
    <w:p w14:paraId="00000048">
      <w:pPr>
        <w:numPr>
          <w:ilvl w:val="0"/>
          <w:numId w:val="1"/>
        </w:numPr>
        <w:pBdr/>
        <w:shd w:val="clear" w:color="auto" w:fill="e6e6e6"/>
        <w:spacing w:line="276" w:lineRule="auto"/>
        <w:ind w:hanging="180" w:left="180"/>
        <w:rPr>
          <w:rFonts w:ascii="Arial" w:hAnsi="Arial" w:eastAsia="Arial" w:cs="Arial"/>
          <w:b/>
          <w:bCs/>
          <w:sz w:val="20"/>
          <w:szCs w:val="20"/>
        </w:rPr>
      </w:pPr>
      <w:r>
        <w:rPr>
          <w:rFonts w:ascii="Arial" w:hAnsi="Arial" w:eastAsia="Arial" w:cs="Arial"/>
          <w:b/>
          <w:bCs/>
          <w:sz w:val="20"/>
          <w:szCs w:val="20"/>
          <w:rtl w:val="0"/>
        </w:rPr>
        <w:t xml:space="preserve">Place, duration and terms of performance</w:t>
      </w:r>
      <w:r>
        <w:rPr>
          <w:rFonts w:ascii="Arial" w:hAnsi="Arial" w:eastAsia="Arial" w:cs="Arial"/>
          <w:b/>
          <w:bCs/>
          <w:sz w:val="20"/>
          <w:szCs w:val="20"/>
        </w:rPr>
      </w:r>
      <w:r>
        <w:rPr>
          <w:rFonts w:ascii="Arial" w:hAnsi="Arial" w:eastAsia="Arial" w:cs="Arial"/>
          <w:b/>
          <w:bCs/>
          <w:sz w:val="20"/>
          <w:szCs w:val="20"/>
        </w:rPr>
      </w:r>
    </w:p>
    <w:p w14:paraId="00000049">
      <w:pPr>
        <w:pBdr/>
        <w:spacing w:line="276" w:lineRule="auto"/>
        <w:ind/>
        <w:rPr>
          <w:rFonts w:ascii="Arial" w:hAnsi="Arial" w:eastAsia="Arial" w:cs="Arial"/>
          <w:sz w:val="20"/>
          <w:szCs w:val="20"/>
        </w:rPr>
      </w:pPr>
      <w:r>
        <w:rPr>
          <w:rtl w:val="0"/>
        </w:rPr>
      </w:r>
      <w:r>
        <w:rPr>
          <w:rFonts w:ascii="Arial" w:hAnsi="Arial" w:eastAsia="Arial" w:cs="Arial"/>
          <w:sz w:val="20"/>
          <w:szCs w:val="20"/>
        </w:rPr>
      </w:r>
      <w:r>
        <w:rPr>
          <w:rFonts w:ascii="Arial" w:hAnsi="Arial" w:eastAsia="Arial" w:cs="Arial"/>
          <w:sz w:val="20"/>
          <w:szCs w:val="20"/>
        </w:rPr>
      </w:r>
    </w:p>
    <w:p w14:paraId="0000004A">
      <w:pPr>
        <w:pBdr/>
        <w:spacing w:line="276" w:lineRule="auto"/>
        <w:ind/>
        <w:rPr>
          <w:rFonts w:ascii="Arial" w:hAnsi="Arial" w:eastAsia="Arial" w:cs="Arial"/>
          <w:sz w:val="20"/>
          <w:szCs w:val="20"/>
        </w:rPr>
      </w:pPr>
      <w:r>
        <w:rPr>
          <w:rFonts w:ascii="Arial" w:hAnsi="Arial" w:eastAsia="Arial" w:cs="Arial"/>
          <w:sz w:val="20"/>
          <w:szCs w:val="20"/>
          <w:rtl w:val="0"/>
        </w:rPr>
        <w:t xml:space="preserve">Place: </w:t>
        <w:tab/>
        <w:tab/>
        <w:t xml:space="preserve">Ukraine;</w:t>
      </w:r>
      <w:r>
        <w:rPr>
          <w:rFonts w:ascii="Arial" w:hAnsi="Arial" w:eastAsia="Arial" w:cs="Arial"/>
          <w:sz w:val="20"/>
          <w:szCs w:val="20"/>
        </w:rPr>
      </w:r>
      <w:r>
        <w:rPr>
          <w:rFonts w:ascii="Arial" w:hAnsi="Arial" w:eastAsia="Arial" w:cs="Arial"/>
          <w:sz w:val="20"/>
          <w:szCs w:val="20"/>
        </w:rPr>
      </w:r>
    </w:p>
    <w:p w14:paraId="0000004C">
      <w:pPr>
        <w:pBdr/>
        <w:spacing w:line="276" w:lineRule="auto"/>
        <w:ind/>
        <w:rPr>
          <w:rFonts w:ascii="Arial" w:hAnsi="Arial" w:eastAsia="Arial" w:cs="Arial"/>
          <w:sz w:val="20"/>
          <w:szCs w:val="20"/>
        </w:rPr>
      </w:pPr>
      <w:r>
        <w:rPr>
          <w:rFonts w:ascii="Arial" w:hAnsi="Arial" w:eastAsia="Arial" w:cs="Arial"/>
          <w:sz w:val="20"/>
          <w:szCs w:val="20"/>
          <w:rtl w:val="0"/>
        </w:rPr>
        <w:t xml:space="preserve">End date:</w:t>
        <w:tab/>
        <w:t xml:space="preserve">15 May 2026;</w:t>
      </w:r>
      <w:r>
        <w:rPr>
          <w:rFonts w:ascii="Arial" w:hAnsi="Arial" w:eastAsia="Arial" w:cs="Arial"/>
          <w:sz w:val="20"/>
          <w:szCs w:val="20"/>
        </w:rPr>
      </w:r>
      <w:r>
        <w:rPr>
          <w:rFonts w:ascii="Arial" w:hAnsi="Arial" w:eastAsia="Arial" w:cs="Arial"/>
          <w:sz w:val="20"/>
          <w:szCs w:val="20"/>
        </w:rPr>
      </w:r>
    </w:p>
    <w:p w14:paraId="0000004D">
      <w:pPr>
        <w:pBdr/>
        <w:spacing w:line="276" w:lineRule="auto"/>
        <w:ind/>
        <w:rPr>
          <w:rFonts w:ascii="Arial" w:hAnsi="Arial" w:eastAsia="Arial" w:cs="Arial"/>
          <w:sz w:val="20"/>
          <w:szCs w:val="20"/>
        </w:rPr>
      </w:pPr>
      <w:r>
        <w:rPr>
          <w:rFonts w:ascii="Arial" w:hAnsi="Arial" w:eastAsia="Arial" w:cs="Arial"/>
          <w:sz w:val="20"/>
          <w:szCs w:val="20"/>
          <w:rtl w:val="0"/>
        </w:rPr>
        <w:t xml:space="preserve">Delivery terms: DDP; Incoterms 2020, Chernihiv region, Chernihiv district (up to 25 km from Chernihiv city; location will be specified in the specification for the selected supplier).</w:t>
      </w:r>
      <w:r>
        <w:rPr>
          <w:rFonts w:ascii="Arial" w:hAnsi="Arial" w:eastAsia="Arial" w:cs="Arial"/>
          <w:sz w:val="20"/>
          <w:szCs w:val="20"/>
        </w:rPr>
      </w:r>
      <w:r>
        <w:rPr>
          <w:rFonts w:ascii="Arial" w:hAnsi="Arial" w:eastAsia="Arial" w:cs="Arial"/>
          <w:sz w:val="20"/>
          <w:szCs w:val="20"/>
        </w:rPr>
      </w:r>
    </w:p>
    <w:p w14:paraId="0000004E">
      <w:pPr>
        <w:pBdr/>
        <w:spacing w:line="276" w:lineRule="auto"/>
        <w:ind/>
        <w:jc w:val="both"/>
        <w:rPr>
          <w:rFonts w:ascii="Arial" w:hAnsi="Arial" w:eastAsia="Arial" w:cs="Arial"/>
          <w:sz w:val="20"/>
          <w:szCs w:val="20"/>
        </w:rPr>
      </w:pPr>
      <w:r>
        <w:rPr>
          <w:rtl w:val="0"/>
        </w:rPr>
      </w:r>
      <w:r>
        <w:rPr>
          <w:rFonts w:ascii="Arial" w:hAnsi="Arial" w:eastAsia="Arial" w:cs="Arial"/>
          <w:sz w:val="20"/>
          <w:szCs w:val="20"/>
        </w:rPr>
      </w:r>
      <w:r>
        <w:rPr>
          <w:rFonts w:ascii="Arial" w:hAnsi="Arial" w:eastAsia="Arial" w:cs="Arial"/>
          <w:sz w:val="20"/>
          <w:szCs w:val="20"/>
        </w:rPr>
      </w:r>
    </w:p>
    <w:p w14:paraId="0000004F">
      <w:pPr>
        <w:numPr>
          <w:ilvl w:val="0"/>
          <w:numId w:val="1"/>
        </w:numPr>
        <w:pBdr/>
        <w:shd w:val="clear" w:color="auto" w:fill="e6e6e6"/>
        <w:spacing w:line="276" w:lineRule="auto"/>
        <w:ind w:hanging="180" w:left="180"/>
        <w:rPr>
          <w:rFonts w:ascii="Arial" w:hAnsi="Arial" w:eastAsia="Arial" w:cs="Arial"/>
          <w:b/>
          <w:bCs/>
          <w:sz w:val="20"/>
          <w:szCs w:val="20"/>
        </w:rPr>
      </w:pPr>
      <w:r>
        <w:rPr>
          <w:rFonts w:ascii="Arial" w:hAnsi="Arial" w:eastAsia="Arial" w:cs="Arial"/>
          <w:b/>
          <w:bCs/>
          <w:sz w:val="20"/>
          <w:szCs w:val="20"/>
          <w:rtl w:val="0"/>
        </w:rPr>
        <w:t xml:space="preserve">Eligibility, evaluation and selection criteria</w:t>
      </w:r>
      <w:r>
        <w:rPr>
          <w:rFonts w:ascii="Arial" w:hAnsi="Arial" w:eastAsia="Arial" w:cs="Arial"/>
          <w:b/>
          <w:bCs/>
          <w:sz w:val="20"/>
          <w:szCs w:val="20"/>
        </w:rPr>
      </w:r>
      <w:r>
        <w:rPr>
          <w:rFonts w:ascii="Arial" w:hAnsi="Arial" w:eastAsia="Arial" w:cs="Arial"/>
          <w:b/>
          <w:bCs/>
          <w:sz w:val="20"/>
          <w:szCs w:val="20"/>
        </w:rPr>
      </w:r>
    </w:p>
    <w:p w14:paraId="00000050">
      <w:pPr>
        <w:pBdr/>
        <w:spacing w:line="276" w:lineRule="auto"/>
        <w:ind/>
        <w:jc w:val="both"/>
        <w:rPr>
          <w:rFonts w:ascii="Arial" w:hAnsi="Arial" w:eastAsia="Arial" w:cs="Arial"/>
          <w:sz w:val="20"/>
          <w:szCs w:val="20"/>
        </w:rPr>
      </w:pPr>
      <w:r>
        <w:rPr>
          <w:rtl w:val="0"/>
        </w:rPr>
      </w:r>
      <w:r>
        <w:rPr>
          <w:rFonts w:ascii="Arial" w:hAnsi="Arial" w:eastAsia="Arial" w:cs="Arial"/>
          <w:sz w:val="20"/>
          <w:szCs w:val="20"/>
        </w:rPr>
      </w:r>
      <w:r>
        <w:rPr>
          <w:rFonts w:ascii="Arial" w:hAnsi="Arial" w:eastAsia="Arial" w:cs="Arial"/>
          <w:sz w:val="20"/>
          <w:szCs w:val="20"/>
        </w:rPr>
      </w:r>
    </w:p>
    <w:p w14:paraId="00000051">
      <w:pPr>
        <w:pBdr/>
        <w:spacing w:line="276" w:lineRule="auto"/>
        <w:ind/>
        <w:jc w:val="both"/>
        <w:rPr>
          <w:rFonts w:ascii="Arial" w:hAnsi="Arial" w:eastAsia="Arial" w:cs="Arial"/>
          <w:sz w:val="20"/>
          <w:szCs w:val="20"/>
        </w:rPr>
      </w:pPr>
      <w:r>
        <w:rPr>
          <w:rFonts w:ascii="Arial" w:hAnsi="Arial" w:eastAsia="Arial" w:cs="Arial"/>
          <w:sz w:val="20"/>
          <w:szCs w:val="20"/>
          <w:rtl w:val="0"/>
        </w:rPr>
        <w:t xml:space="preserve">This call is open for LLC companies registered as a legal entity in Ukraine or LLC international companies having official division(s) in Ukraine as well as Private Entrepreneur (FOP) persons, able to provide required services.</w:t>
      </w:r>
      <w:r>
        <w:rPr>
          <w:rFonts w:ascii="Arial" w:hAnsi="Arial" w:eastAsia="Arial" w:cs="Arial"/>
          <w:sz w:val="20"/>
          <w:szCs w:val="20"/>
        </w:rPr>
      </w:r>
      <w:r>
        <w:rPr>
          <w:rFonts w:ascii="Arial" w:hAnsi="Arial" w:eastAsia="Arial" w:cs="Arial"/>
          <w:sz w:val="20"/>
          <w:szCs w:val="20"/>
        </w:rPr>
      </w:r>
    </w:p>
    <w:p w14:paraId="00000052">
      <w:pPr>
        <w:pBdr/>
        <w:spacing w:line="276" w:lineRule="auto"/>
        <w:ind/>
        <w:jc w:val="both"/>
        <w:rPr>
          <w:rFonts w:ascii="Arial" w:hAnsi="Arial" w:eastAsia="Arial" w:cs="Arial"/>
          <w:sz w:val="20"/>
          <w:szCs w:val="20"/>
        </w:rPr>
      </w:pPr>
      <w:r>
        <w:rPr>
          <w:rtl w:val="0"/>
        </w:rPr>
      </w:r>
      <w:r>
        <w:rPr>
          <w:rFonts w:ascii="Arial" w:hAnsi="Arial" w:eastAsia="Arial" w:cs="Arial"/>
          <w:sz w:val="20"/>
          <w:szCs w:val="20"/>
        </w:rPr>
      </w:r>
      <w:r>
        <w:rPr>
          <w:rFonts w:ascii="Arial" w:hAnsi="Arial" w:eastAsia="Arial" w:cs="Arial"/>
          <w:sz w:val="20"/>
          <w:szCs w:val="20"/>
        </w:rPr>
      </w:r>
    </w:p>
    <w:p w14:paraId="00000053">
      <w:pPr>
        <w:pBdr/>
        <w:spacing w:line="276" w:lineRule="auto"/>
        <w:ind/>
        <w:jc w:val="both"/>
        <w:rPr>
          <w:rFonts w:ascii="Arial" w:hAnsi="Arial" w:eastAsia="Arial" w:cs="Arial"/>
          <w:sz w:val="20"/>
          <w:szCs w:val="20"/>
        </w:rPr>
      </w:pPr>
      <w:r>
        <w:rPr>
          <w:rFonts w:ascii="Arial" w:hAnsi="Arial" w:eastAsia="Arial" w:cs="Arial"/>
          <w:sz w:val="20"/>
          <w:szCs w:val="20"/>
          <w:rtl w:val="0"/>
        </w:rPr>
        <w:t xml:space="preserve">A procurement committee will evaluate all received proposals based on the specified criteria:</w:t>
      </w:r>
      <w:r>
        <w:rPr>
          <w:rFonts w:ascii="Arial" w:hAnsi="Arial" w:eastAsia="Arial" w:cs="Arial"/>
          <w:sz w:val="20"/>
          <w:szCs w:val="20"/>
        </w:rPr>
      </w:r>
      <w:r>
        <w:rPr>
          <w:rFonts w:ascii="Arial" w:hAnsi="Arial" w:eastAsia="Arial" w:cs="Arial"/>
          <w:sz w:val="20"/>
          <w:szCs w:val="20"/>
        </w:rPr>
      </w:r>
    </w:p>
    <w:p w14:paraId="00000054">
      <w:pPr>
        <w:keepNext w:val="false"/>
        <w:keepLines w:val="false"/>
        <w:pageBreakBefore w:val="false"/>
        <w:widowControl w:val="true"/>
        <w:numPr>
          <w:ilvl w:val="0"/>
          <w:numId w:val="9"/>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Financial Offer – </w:t>
      </w:r>
      <w:r>
        <w:rPr>
          <w:rFonts w:ascii="Arial" w:hAnsi="Arial" w:eastAsia="Arial" w:cs="Arial"/>
          <w:b/>
          <w:bCs/>
          <w:i w:val="0"/>
          <w:iCs w:val="0"/>
          <w:smallCaps w:val="0"/>
          <w:strike w:val="0"/>
          <w:color w:val="000000"/>
          <w:sz w:val="20"/>
          <w:szCs w:val="20"/>
          <w:u w:val="none"/>
          <w:shd w:val="clear" w:color="auto" w:fill="auto"/>
          <w:vertAlign w:val="baseline"/>
          <w:rtl w:val="0"/>
        </w:rPr>
        <w:t xml:space="preserve">40</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55">
      <w:pPr>
        <w:keepNext w:val="false"/>
        <w:keepLines w:val="false"/>
        <w:pageBreakBefore w:val="false"/>
        <w:widowControl w:val="true"/>
        <w:numPr>
          <w:ilvl w:val="0"/>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Compliance with Technical Specifications – </w:t>
      </w:r>
      <w:r>
        <w:rPr>
          <w:rFonts w:ascii="Arial" w:hAnsi="Arial" w:eastAsia="Arial" w:cs="Arial"/>
          <w:b/>
          <w:bCs/>
          <w:i w:val="0"/>
          <w:iCs w:val="0"/>
          <w:smallCaps w:val="0"/>
          <w:strike w:val="0"/>
          <w:color w:val="000000"/>
          <w:sz w:val="20"/>
          <w:szCs w:val="20"/>
          <w:u w:val="none"/>
          <w:shd w:val="clear" w:color="auto" w:fill="auto"/>
          <w:vertAlign w:val="baseline"/>
          <w:rtl w:val="0"/>
        </w:rPr>
        <w:t xml:space="preserve">30</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56">
      <w:pPr>
        <w:keepNext w:val="false"/>
        <w:keepLines w:val="false"/>
        <w:pageBreakBefore w:val="false"/>
        <w:widowControl w:val="true"/>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Delivery and Timeline – </w:t>
      </w:r>
      <w:r>
        <w:rPr>
          <w:rFonts w:ascii="Arial" w:hAnsi="Arial" w:eastAsia="Arial" w:cs="Arial"/>
          <w:b/>
          <w:bCs/>
          <w:i w:val="0"/>
          <w:iCs w:val="0"/>
          <w:smallCaps w:val="0"/>
          <w:strike w:val="0"/>
          <w:color w:val="000000"/>
          <w:sz w:val="20"/>
          <w:szCs w:val="20"/>
          <w:u w:val="none"/>
          <w:shd w:val="clear" w:color="auto" w:fill="auto"/>
          <w:vertAlign w:val="baseline"/>
          <w:rtl w:val="0"/>
        </w:rPr>
        <w:t xml:space="preserve">30</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57">
      <w:pPr>
        <w:pBdr/>
        <w:spacing w:line="276" w:lineRule="auto"/>
        <w:ind/>
        <w:jc w:val="both"/>
        <w:rPr>
          <w:rFonts w:ascii="Arial" w:hAnsi="Arial" w:eastAsia="Arial" w:cs="Arial"/>
          <w:sz w:val="20"/>
          <w:szCs w:val="20"/>
        </w:rPr>
      </w:pPr>
      <w:r>
        <w:rPr>
          <w:rtl w:val="0"/>
        </w:rPr>
      </w:r>
      <w:r>
        <w:rPr>
          <w:rFonts w:ascii="Arial" w:hAnsi="Arial" w:eastAsia="Arial" w:cs="Arial"/>
          <w:sz w:val="20"/>
          <w:szCs w:val="20"/>
        </w:rPr>
      </w:r>
      <w:r>
        <w:rPr>
          <w:rFonts w:ascii="Arial" w:hAnsi="Arial" w:eastAsia="Arial" w:cs="Arial"/>
          <w:sz w:val="20"/>
          <w:szCs w:val="20"/>
        </w:rPr>
      </w:r>
    </w:p>
    <w:p w14:paraId="00000058">
      <w:pPr>
        <w:pBdr/>
        <w:spacing w:line="276" w:lineRule="auto"/>
        <w:ind/>
        <w:jc w:val="both"/>
        <w:rPr>
          <w:rFonts w:ascii="Arial" w:hAnsi="Arial" w:eastAsia="Arial" w:cs="Arial"/>
          <w:sz w:val="20"/>
          <w:szCs w:val="20"/>
        </w:rPr>
      </w:pPr>
      <w:r>
        <w:rPr>
          <w:rFonts w:ascii="Arial" w:hAnsi="Arial" w:eastAsia="Arial" w:cs="Arial"/>
          <w:sz w:val="20"/>
          <w:szCs w:val="20"/>
          <w:rtl w:val="0"/>
        </w:rPr>
        <w:t xml:space="preserve">The selected Service Provider will be notified promptly upon completion of the evaluation process.</w:t>
      </w:r>
      <w:r>
        <w:rPr>
          <w:rFonts w:ascii="Arial" w:hAnsi="Arial" w:eastAsia="Arial" w:cs="Arial"/>
          <w:sz w:val="20"/>
          <w:szCs w:val="20"/>
        </w:rPr>
      </w:r>
      <w:r>
        <w:rPr>
          <w:rFonts w:ascii="Arial" w:hAnsi="Arial" w:eastAsia="Arial" w:cs="Arial"/>
          <w:sz w:val="20"/>
          <w:szCs w:val="20"/>
        </w:rPr>
      </w:r>
    </w:p>
    <w:p w14:paraId="00000059">
      <w:pPr>
        <w:pBdr/>
        <w:spacing w:line="276" w:lineRule="auto"/>
        <w:ind/>
        <w:jc w:val="both"/>
        <w:rPr>
          <w:rFonts w:ascii="Arial" w:hAnsi="Arial" w:eastAsia="Arial" w:cs="Arial"/>
          <w:sz w:val="20"/>
          <w:szCs w:val="20"/>
        </w:rPr>
      </w:pPr>
      <w:r>
        <w:rPr>
          <w:rtl w:val="0"/>
        </w:rPr>
      </w:r>
      <w:r>
        <w:rPr>
          <w:rFonts w:ascii="Arial" w:hAnsi="Arial" w:eastAsia="Arial" w:cs="Arial"/>
          <w:sz w:val="20"/>
          <w:szCs w:val="20"/>
        </w:rPr>
      </w:r>
      <w:r>
        <w:rPr>
          <w:rFonts w:ascii="Arial" w:hAnsi="Arial" w:eastAsia="Arial" w:cs="Arial"/>
          <w:sz w:val="20"/>
          <w:szCs w:val="20"/>
        </w:rPr>
      </w:r>
    </w:p>
    <w:p w14:paraId="0000005A">
      <w:pPr>
        <w:numPr>
          <w:ilvl w:val="0"/>
          <w:numId w:val="1"/>
        </w:numPr>
        <w:pBdr/>
        <w:shd w:val="clear" w:color="auto" w:fill="e6e6e6"/>
        <w:spacing w:line="276" w:lineRule="auto"/>
        <w:ind w:hanging="180" w:left="180"/>
        <w:rPr>
          <w:rFonts w:ascii="Arial" w:hAnsi="Arial" w:eastAsia="Arial" w:cs="Arial"/>
          <w:b/>
          <w:bCs/>
          <w:sz w:val="20"/>
          <w:szCs w:val="20"/>
        </w:rPr>
      </w:pPr>
      <w:r>
        <w:rPr>
          <w:rFonts w:ascii="Arial" w:hAnsi="Arial" w:eastAsia="Arial" w:cs="Arial"/>
          <w:b/>
          <w:bCs/>
          <w:sz w:val="20"/>
          <w:szCs w:val="20"/>
          <w:rtl w:val="0"/>
        </w:rPr>
        <w:t xml:space="preserve">Payment terms</w:t>
      </w:r>
      <w:r>
        <w:rPr>
          <w:rFonts w:ascii="Arial" w:hAnsi="Arial" w:eastAsia="Arial" w:cs="Arial"/>
          <w:b/>
          <w:bCs/>
          <w:sz w:val="20"/>
          <w:szCs w:val="20"/>
        </w:rPr>
      </w:r>
      <w:r>
        <w:rPr>
          <w:rFonts w:ascii="Arial" w:hAnsi="Arial" w:eastAsia="Arial" w:cs="Arial"/>
          <w:b/>
          <w:bCs/>
          <w:sz w:val="20"/>
          <w:szCs w:val="20"/>
        </w:rPr>
      </w:r>
    </w:p>
    <w:p w14:paraId="0000005B">
      <w:pPr>
        <w:pBdr/>
        <w:spacing w:before="240" w:line="276" w:lineRule="auto"/>
        <w:ind/>
        <w:jc w:val="both"/>
        <w:rPr>
          <w:rFonts w:ascii="Arial" w:hAnsi="Arial" w:eastAsia="Arial" w:cs="Arial"/>
          <w:sz w:val="20"/>
          <w:szCs w:val="20"/>
        </w:rPr>
      </w:pPr>
      <w:r>
        <w:rPr>
          <w:rFonts w:ascii="Arial" w:hAnsi="Arial" w:eastAsia="Arial" w:cs="Arial"/>
          <w:sz w:val="20"/>
          <w:szCs w:val="20"/>
          <w:rtl w:val="0"/>
        </w:rPr>
        <w:t xml:space="preserve">Payment terms:</w:t>
      </w:r>
      <w:r>
        <w:rPr>
          <w:rFonts w:ascii="Arial" w:hAnsi="Arial" w:eastAsia="Arial" w:cs="Arial"/>
          <w:sz w:val="20"/>
          <w:szCs w:val="20"/>
        </w:rPr>
      </w:r>
      <w:r>
        <w:rPr>
          <w:rFonts w:ascii="Arial" w:hAnsi="Arial" w:eastAsia="Arial" w:cs="Arial"/>
          <w:sz w:val="20"/>
          <w:szCs w:val="20"/>
        </w:rPr>
      </w:r>
    </w:p>
    <w:p w14:paraId="0000005C">
      <w:pPr>
        <w:keepNext w:val="false"/>
        <w:keepLines w:val="false"/>
        <w:pageBreakBefore w:val="false"/>
        <w:widowControl w:val="true"/>
        <w:numPr>
          <w:ilvl w:val="0"/>
          <w:numId w:val="9"/>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The price of the goods must include: delivery of the equipment to the purchasers; where applicable: installation, commissioning of the equipment, and training of the Customer’s specialists (supporting document – letter of guarantee).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5D">
      <w:pPr>
        <w:keepNext w:val="false"/>
        <w:keepLines w:val="false"/>
        <w:pageBreakBefore w:val="false"/>
        <w:widowControl w:val="true"/>
        <w:numPr>
          <w:ilvl w:val="0"/>
          <w:numId w:val="9"/>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The cost o</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f the goods is fixed based on the National Bank of Ukraine (NBU) exchange rate (Euro to Hryvnia) as of the date of the price proposal submission. Should the national currency exchange rate fluctuate by more than 2% by the date of signing the specification,</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or by the date of delivery of goods, works, or services, the cost shall be recalculated in accordance with the NBU exchange rate (Euro to Hryvnia) as of the date of signing the Contract, the specification, the delivery note, or the acceptance certificate.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5E">
      <w:pPr>
        <w:keepNext w:val="false"/>
        <w:keepLines w:val="false"/>
        <w:pageBreakBefore w:val="false"/>
        <w:widowControl w:val="true"/>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The amounts of such payment may not exceed the value of the services, supplies or works performed by the Contractor and validated by Expertise France.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5F">
      <w:pPr>
        <w:keepNext w:val="false"/>
        <w:keepLines w:val="false"/>
        <w:pageBreakBefore w:val="false"/>
        <w:widowControl w:val="true"/>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This procurement is financed under an international technical assistance project impl</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emented by Expertise France. In accordance with the applicable international agreements and Ukrainian legislation regulating international technical assistance, no taxes, VAT, duties, tariffs, or other mandatory charges may be financed under this Contract.</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60">
      <w:pPr>
        <w:keepNext w:val="false"/>
        <w:keepLines w:val="false"/>
        <w:pageBreakBefore w:val="false"/>
        <w:widowControl w:val="true"/>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Goods, works, and services procured within the frame</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work of the Project are exempt from VAT. Expertise France will provide the selected Supplier with a certified copy of the APPUI Santé project registration card, issued by the Secretariat of the Cabinet of Ministers of Ukraine, confirming the VAT exemption.</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61">
      <w:pPr>
        <w:keepNext w:val="false"/>
        <w:keepLines w:val="false"/>
        <w:pageBreakBefore w:val="false"/>
        <w:widowControl w:val="true"/>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The Supplier must issue all invoices and tax documents clearly marked VAT exempted, indicating the project name, contract number, and the legal basis for the exemption. </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62">
      <w:pPr>
        <w:keepNext w:val="false"/>
        <w:keepLines w:val="false"/>
        <w:pageBreakBefore w:val="false"/>
        <w:widowControl w:val="true"/>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0" w:line="276" w:lineRule="auto"/>
        <w:ind w:right="0" w:hanging="360" w:left="72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All payment terms will be defined in the Contract in accordance with donor regulations and Ukrainian law.</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h="16838" w:orient="portrait" w:w="11906"/>
      <w:pgMar w:top="1977" w:right="1417" w:bottom="1417" w:left="1417" w:header="708" w:footer="480" w:gutter="0"/>
      <w:pgNumType w:start="1"/>
      <w:cols w:num="1" w:sep="0" w:space="1701"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Courier New">
    <w:panose1 w:val="02070309020205020404"/>
  </w:font>
  <w:font w:name="Calibri">
    <w:panose1 w:val="020F0502020204030204"/>
  </w:font>
  <w:font w:name="Georgia">
    <w:panose1 w:val="02040502050405020303"/>
  </w:font>
  <w:font w:name="Noto Sans Symbols">
    <w:panose1 w:val="02020702060506020403"/>
  </w:font>
  <w:font w:name="Cambria">
    <w:panose1 w:val="0204050305040603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000006A">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 w:val="right" w:leader="none" w:pos="9746"/>
      </w:tabs>
      <w:spacing w:after="0" w:before="0" w:line="240" w:lineRule="auto"/>
      <w:ind w:right="0" w:firstLine="0" w:left="0"/>
      <w:jc w:val="both"/>
      <w:rPr>
        <w:rFonts w:ascii="Calibri" w:hAnsi="Calibri" w:eastAsia="Calibri" w:cs="Calibri"/>
        <w:b w:val="0"/>
        <w:bCs w:val="0"/>
        <w:i w:val="0"/>
        <w:iCs w:val="0"/>
        <w:smallCaps w:val="0"/>
        <w:strike w:val="0"/>
        <w:color w:val="000000"/>
        <w:sz w:val="24"/>
        <w:szCs w:val="24"/>
        <w:u w:val="none"/>
        <w:shd w:val="clear" w:color="auto" w:fill="auto"/>
        <w:vertAlign w:val="baseline"/>
      </w:rPr>
    </w:pPr>
    <w:r>
      <w:rPr>
        <w:rFonts w:ascii="Calibri" w:hAnsi="Calibri" w:eastAsia="Calibri" w:cs="Calibri"/>
        <w:b w:val="0"/>
        <w:bCs w:val="0"/>
        <w:i w:val="0"/>
        <w:iCs w:val="0"/>
        <w:smallCaps w:val="0"/>
        <w:strike w:val="0"/>
        <w:color w:val="000000"/>
        <w:sz w:val="22"/>
        <w:szCs w:val="22"/>
        <w:u w:val="none"/>
        <w:shd w:val="clear" w:color="auto" w:fill="auto"/>
        <w:vertAlign w:val="baseline"/>
        <w:rtl w:val="0"/>
      </w:rPr>
      <w:tab/>
      <w:t xml:space="preserve">Page </w:t>
    </w:r>
    <w:r>
      <w:rPr>
        <w:rFonts w:ascii="Calibri" w:hAnsi="Calibri" w:eastAsia="Calibri" w:cs="Calibri"/>
        <w:b/>
        <w:bCs/>
        <w:i w:val="0"/>
        <w:iCs w:val="0"/>
        <w:smallCaps w:val="0"/>
        <w:strike w:val="0"/>
        <w:color w:val="000000"/>
        <w:sz w:val="22"/>
        <w:szCs w:val="22"/>
        <w:u w:val="none"/>
        <w:shd w:val="clear" w:color="auto" w:fill="auto"/>
        <w:vertAlign w:val="baseline"/>
      </w:rPr>
      <w:fldChar w:fldCharType="begin"/>
      <w:instrText xml:space="preserve">PAGE</w:instrText>
      <w:fldChar w:fldCharType="separate"/>
      <w:fldChar w:fldCharType="end"/>
    </w:r>
    <w:r>
      <w:rPr>
        <w:rFonts w:ascii="Calibri" w:hAnsi="Calibri" w:eastAsia="Calibri" w:cs="Calibri"/>
        <w:b w:val="0"/>
        <w:bCs w:val="0"/>
        <w:i w:val="0"/>
        <w:iCs w:val="0"/>
        <w:smallCaps w:val="0"/>
        <w:strike w:val="0"/>
        <w:color w:val="000000"/>
        <w:sz w:val="22"/>
        <w:szCs w:val="22"/>
        <w:u w:val="none"/>
        <w:shd w:val="clear" w:color="auto" w:fill="auto"/>
        <w:vertAlign w:val="baseline"/>
        <w:rtl w:val="0"/>
      </w:rPr>
      <w:t xml:space="preserve"> of </w:t>
    </w:r>
    <w:r>
      <w:rPr>
        <w:rFonts w:ascii="Calibri" w:hAnsi="Calibri" w:eastAsia="Calibri" w:cs="Calibri"/>
        <w:b/>
        <w:bCs/>
        <w:i w:val="0"/>
        <w:iCs w:val="0"/>
        <w:smallCaps w:val="0"/>
        <w:strike w:val="0"/>
        <w:color w:val="000000"/>
        <w:sz w:val="22"/>
        <w:szCs w:val="22"/>
        <w:u w:val="none"/>
        <w:shd w:val="clear" w:color="auto" w:fill="auto"/>
        <w:vertAlign w:val="baseline"/>
      </w:rPr>
      <w:fldChar w:fldCharType="begin"/>
      <w:instrText xml:space="preserve">NUMPAGES</w:instrText>
      <w:fldChar w:fldCharType="separate"/>
      <w:fldChar w:fldCharType="end"/>
    </w:r>
    <w:r>
      <w:rPr>
        <w:rFonts w:ascii="Calibri" w:hAnsi="Calibri" w:eastAsia="Calibri" w:cs="Calibri"/>
        <w:b w:val="0"/>
        <w:bCs w:val="0"/>
        <w:i w:val="0"/>
        <w:iCs w:val="0"/>
        <w:smallCaps w:val="0"/>
        <w:strike w:val="0"/>
        <w:color w:val="000000"/>
        <w:sz w:val="24"/>
        <w:szCs w:val="24"/>
        <w:u w:val="none"/>
        <w:shd w:val="clear" w:color="auto" w:fill="auto"/>
        <w:vertAlign w:val="baseline"/>
      </w:rPr>
    </w:r>
    <w:r>
      <w:rPr>
        <w:rFonts w:ascii="Calibri" w:hAnsi="Calibri" w:eastAsia="Calibri" w:cs="Calibri"/>
        <w:b w:val="0"/>
        <w:bCs w:val="0"/>
        <w:i w:val="0"/>
        <w:iCs w:val="0"/>
        <w:smallCaps w:val="0"/>
        <w:strike w:val="0"/>
        <w:color w:val="000000"/>
        <w:sz w:val="24"/>
        <w:szCs w:val="24"/>
        <w:u w:val="none"/>
        <w:shd w:val="clear" w:color="auto" w:fill="auto"/>
        <w:vertAlign w:val="baseline"/>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0000068">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s>
      <w:spacing w:after="0" w:before="0" w:line="240" w:lineRule="auto"/>
      <w:ind w:right="0" w:firstLine="0" w:left="0"/>
      <w:jc w:val="right"/>
      <w:rPr>
        <w:rFonts w:ascii="Times New Roman" w:hAnsi="Times New Roman" w:eastAsia="Times New Roman" w:cs="Times New Roman"/>
        <w:b w:val="0"/>
        <w:bCs w:val="0"/>
        <w:i w:val="0"/>
        <w:iCs w:val="0"/>
        <w:smallCaps w:val="0"/>
        <w:strike w:val="0"/>
        <w:color w:val="000000"/>
        <w:sz w:val="24"/>
        <w:szCs w:val="24"/>
        <w:u w:val="none"/>
        <w:shd w:val="clear" w:color="auto" w:fill="auto"/>
        <w:vertAlign w:val="baseline"/>
      </w:rPr>
    </w:pPr>
    <w:r>
      <w:rPr>
        <w:rFonts w:ascii="Times New Roman" w:hAnsi="Times New Roman" w:eastAsia="Times New Roman" w:cs="Times New Roman"/>
        <w:b w:val="0"/>
        <w:bCs w:val="0"/>
        <w:i w:val="0"/>
        <w:iCs w:val="0"/>
        <w:smallCaps w:val="0"/>
        <w:strike w:val="0"/>
        <w:color w:val="000000"/>
        <w:sz w:val="24"/>
        <w:szCs w:val="24"/>
        <w:u w:val="none"/>
        <w:shd w:val="clear" w:color="auto" w:fill="auto"/>
        <w:vertAlign w:val="baseline"/>
      </w:rPr>
      <w:fldChar w:fldCharType="begin"/>
      <w:instrText xml:space="preserve">PAGE</w:instrText>
      <w:fldChar w:fldCharType="separate"/>
      <w:fldChar w:fldCharType="end"/>
    </w:r>
    <w:r>
      <w:rPr>
        <w:rFonts w:ascii="Times New Roman" w:hAnsi="Times New Roman" w:eastAsia="Times New Roman" w:cs="Times New Roman"/>
        <w:b w:val="0"/>
        <w:bCs w:val="0"/>
        <w:i w:val="0"/>
        <w:iCs w:val="0"/>
        <w:smallCaps w:val="0"/>
        <w:strike w:val="0"/>
        <w:color w:val="000000"/>
        <w:sz w:val="24"/>
        <w:szCs w:val="24"/>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24"/>
        <w:szCs w:val="24"/>
        <w:u w:val="none"/>
        <w:shd w:val="clear" w:color="auto" w:fill="auto"/>
        <w:vertAlign w:val="baseline"/>
      </w:rPr>
    </w:r>
  </w:p>
  <w:p w14:paraId="00000069">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s>
      <w:spacing w:after="0" w:before="0" w:line="240" w:lineRule="auto"/>
      <w:ind w:right="360" w:firstLine="0" w:left="0"/>
      <w:jc w:val="left"/>
      <w:rPr>
        <w:rFonts w:ascii="Times New Roman" w:hAnsi="Times New Roman" w:eastAsia="Times New Roman" w:cs="Times New Roman"/>
        <w:b w:val="0"/>
        <w:bCs w:val="0"/>
        <w:i w:val="0"/>
        <w:iCs w:val="0"/>
        <w:smallCaps w:val="0"/>
        <w:strike w:val="0"/>
        <w:color w:val="000000"/>
        <w:sz w:val="24"/>
        <w:szCs w:val="24"/>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24"/>
        <w:szCs w:val="24"/>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24"/>
        <w:szCs w:val="24"/>
        <w:u w:val="none"/>
        <w:shd w:val="clear" w:color="auto" w:fill="auto"/>
        <w:vertAlign w:val="baseline"/>
      </w:r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000006B">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940"/>
        <w:tab w:val="center" w:leader="none" w:pos="4536"/>
        <w:tab w:val="right" w:leader="none" w:pos="9072"/>
        <w:tab w:val="right" w:leader="none" w:pos="9746"/>
      </w:tabs>
      <w:spacing w:after="0" w:before="0" w:line="240" w:lineRule="auto"/>
      <w:ind w:right="0" w:firstLine="0" w:left="0"/>
      <w:jc w:val="both"/>
      <w:rPr>
        <w:rFonts w:ascii="Calibri" w:hAnsi="Calibri" w:eastAsia="Calibri" w:cs="Calibri"/>
        <w:b w:val="0"/>
        <w:bCs w:val="0"/>
        <w:i w:val="0"/>
        <w:iCs w:val="0"/>
        <w:smallCaps w:val="0"/>
        <w:strike w:val="0"/>
        <w:color w:val="000000"/>
        <w:sz w:val="24"/>
        <w:szCs w:val="24"/>
        <w:u w:val="single"/>
        <w:shd w:val="clear" w:color="auto" w:fill="auto"/>
        <w:vertAlign w:val="baseline"/>
      </w:rPr>
    </w:pPr>
    <w:r>
      <w:rPr>
        <w:rtl w:val="0"/>
      </w:rPr>
    </w:r>
    <w:r>
      <w:rPr>
        <w:rFonts w:ascii="Calibri" w:hAnsi="Calibri" w:eastAsia="Calibri" w:cs="Calibri"/>
        <w:b w:val="0"/>
        <w:bCs w:val="0"/>
        <w:i w:val="0"/>
        <w:iCs w:val="0"/>
        <w:smallCaps w:val="0"/>
        <w:strike w:val="0"/>
        <w:color w:val="000000"/>
        <w:sz w:val="24"/>
        <w:szCs w:val="24"/>
        <w:u w:val="single"/>
        <w:shd w:val="clear" w:color="auto" w:fill="auto"/>
        <w:vertAlign w:val="baseline"/>
      </w:rPr>
    </w:r>
    <w:r>
      <w:rPr>
        <w:rFonts w:ascii="Calibri" w:hAnsi="Calibri" w:eastAsia="Calibri" w:cs="Calibri"/>
        <w:b w:val="0"/>
        <w:bCs w:val="0"/>
        <w:i w:val="0"/>
        <w:iCs w:val="0"/>
        <w:smallCaps w:val="0"/>
        <w:strike w:val="0"/>
        <w:color w:val="000000"/>
        <w:sz w:val="24"/>
        <w:szCs w:val="24"/>
        <w:u w:val="single"/>
        <w:shd w:val="clear" w:color="auto" w:fill="auto"/>
        <w:vertAlign w:val="baseline"/>
      </w:rPr>
    </w:r>
  </w:p>
  <w:p w14:paraId="0000006C">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 w:val="right" w:leader="none" w:pos="9746"/>
      </w:tabs>
      <w:spacing w:after="0" w:before="0" w:line="240" w:lineRule="auto"/>
      <w:ind w:right="0" w:firstLine="0" w:left="0"/>
      <w:jc w:val="center"/>
      <w:rPr>
        <w:rFonts w:ascii="Calibri" w:hAnsi="Calibri" w:eastAsia="Calibri" w:cs="Calibri"/>
        <w:b/>
        <w:bCs/>
        <w:i w:val="0"/>
        <w:iCs w:val="0"/>
        <w:smallCaps w:val="0"/>
        <w:strike w:val="0"/>
        <w:color w:val="000000"/>
        <w:sz w:val="22"/>
        <w:szCs w:val="22"/>
        <w:u w:val="none"/>
        <w:shd w:val="clear" w:color="auto" w:fill="auto"/>
        <w:vertAlign w:val="baseline"/>
      </w:rPr>
    </w:pPr>
    <w:r>
      <w:rPr>
        <w:rFonts w:ascii="Calibri" w:hAnsi="Calibri" w:eastAsia="Calibri" w:cs="Calibri"/>
        <w:b w:val="0"/>
        <w:bCs w:val="0"/>
        <w:i w:val="0"/>
        <w:iCs w:val="0"/>
        <w:smallCaps w:val="0"/>
        <w:strike w:val="0"/>
        <w:color w:val="000000"/>
        <w:sz w:val="22"/>
        <w:szCs w:val="22"/>
        <w:u w:val="none"/>
        <w:shd w:val="clear" w:color="auto" w:fill="auto"/>
        <w:vertAlign w:val="baseline"/>
        <w:rtl w:val="0"/>
      </w:rPr>
      <w:tab/>
      <w:t xml:space="preserve">Page</w:t>
    </w:r>
    <w:r>
      <w:rPr>
        <w:rFonts w:ascii="Calibri" w:hAnsi="Calibri" w:eastAsia="Calibri" w:cs="Calibri"/>
        <w:b/>
        <w:bCs/>
        <w:i w:val="0"/>
        <w:iCs w:val="0"/>
        <w:smallCaps w:val="0"/>
        <w:strike w:val="0"/>
        <w:color w:val="000000"/>
        <w:sz w:val="22"/>
        <w:szCs w:val="22"/>
        <w:u w:val="none"/>
        <w:shd w:val="clear" w:color="auto" w:fill="auto"/>
        <w:vertAlign w:val="baseline"/>
        <w:rtl w:val="0"/>
      </w:rPr>
      <w:t xml:space="preserve"> </w:t>
    </w:r>
    <w:r>
      <w:rPr>
        <w:rFonts w:ascii="Calibri" w:hAnsi="Calibri" w:eastAsia="Calibri" w:cs="Calibri"/>
        <w:b/>
        <w:bCs/>
        <w:i w:val="0"/>
        <w:iCs w:val="0"/>
        <w:smallCaps w:val="0"/>
        <w:strike w:val="0"/>
        <w:color w:val="000000"/>
        <w:sz w:val="22"/>
        <w:szCs w:val="22"/>
        <w:u w:val="none"/>
        <w:shd w:val="clear" w:color="auto" w:fill="auto"/>
        <w:vertAlign w:val="baseline"/>
      </w:rPr>
      <w:fldChar w:fldCharType="begin"/>
      <w:instrText xml:space="preserve">PAGE</w:instrText>
      <w:fldChar w:fldCharType="separate"/>
      <w:fldChar w:fldCharType="end"/>
    </w:r>
    <w:r>
      <w:rPr>
        <w:rFonts w:ascii="Calibri" w:hAnsi="Calibri" w:eastAsia="Calibri" w:cs="Calibri"/>
        <w:b/>
        <w:bCs/>
        <w:i w:val="0"/>
        <w:iCs w:val="0"/>
        <w:smallCaps w:val="0"/>
        <w:strike w:val="0"/>
        <w:color w:val="000000"/>
        <w:sz w:val="22"/>
        <w:szCs w:val="22"/>
        <w:u w:val="none"/>
        <w:shd w:val="clear" w:color="auto" w:fill="auto"/>
        <w:vertAlign w:val="baseline"/>
        <w:rtl w:val="0"/>
      </w:rPr>
      <w:t xml:space="preserve"> </w:t>
    </w:r>
    <w:r>
      <w:rPr>
        <w:rFonts w:ascii="Calibri" w:hAnsi="Calibri" w:eastAsia="Calibri" w:cs="Calibri"/>
        <w:b w:val="0"/>
        <w:bCs w:val="0"/>
        <w:i w:val="0"/>
        <w:iCs w:val="0"/>
        <w:smallCaps w:val="0"/>
        <w:strike w:val="0"/>
        <w:color w:val="000000"/>
        <w:sz w:val="22"/>
        <w:szCs w:val="22"/>
        <w:u w:val="none"/>
        <w:shd w:val="clear" w:color="auto" w:fill="auto"/>
        <w:vertAlign w:val="baseline"/>
        <w:rtl w:val="0"/>
      </w:rPr>
      <w:t xml:space="preserve">of </w:t>
    </w:r>
    <w:r>
      <w:rPr>
        <w:rFonts w:ascii="Calibri" w:hAnsi="Calibri" w:eastAsia="Calibri" w:cs="Calibri"/>
        <w:b/>
        <w:bCs/>
        <w:i w:val="0"/>
        <w:iCs w:val="0"/>
        <w:smallCaps w:val="0"/>
        <w:strike w:val="0"/>
        <w:color w:val="000000"/>
        <w:sz w:val="22"/>
        <w:szCs w:val="22"/>
        <w:u w:val="none"/>
        <w:shd w:val="clear" w:color="auto" w:fill="auto"/>
        <w:vertAlign w:val="baseline"/>
      </w:rPr>
      <w:fldChar w:fldCharType="begin"/>
      <w:instrText xml:space="preserve">NUMPAGES</w:instrText>
      <w:fldChar w:fldCharType="separate"/>
      <w:fldChar w:fldCharType="end"/>
    </w:r>
    <w:r>
      <w:rPr>
        <w:rFonts w:ascii="Calibri" w:hAnsi="Calibri" w:eastAsia="Calibri" w:cs="Calibri"/>
        <w:b/>
        <w:bCs/>
        <w:i w:val="0"/>
        <w:iCs w:val="0"/>
        <w:smallCaps w:val="0"/>
        <w:strike w:val="0"/>
        <w:color w:val="000000"/>
        <w:sz w:val="22"/>
        <w:szCs w:val="22"/>
        <w:u w:val="none"/>
        <w:shd w:val="clear" w:color="auto" w:fill="auto"/>
        <w:vertAlign w:val="baseline"/>
      </w:rPr>
    </w:r>
    <w:r>
      <w:rPr>
        <w:rFonts w:ascii="Calibri" w:hAnsi="Calibri" w:eastAsia="Calibri" w:cs="Calibri"/>
        <w:b/>
        <w:bCs/>
        <w:i w:val="0"/>
        <w:iCs w:val="0"/>
        <w:smallCaps w:val="0"/>
        <w:strike w:val="0"/>
        <w:color w:val="000000"/>
        <w:sz w:val="22"/>
        <w:szCs w:val="22"/>
        <w:u w:val="none"/>
        <w:shd w:val="clear" w:color="auto" w:fill="auto"/>
        <w:vertAlign w:val="baseline"/>
      </w:rPr>
    </w:r>
  </w:p>
  <w:p w14:paraId="0000006D">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 w:val="right" w:leader="none" w:pos="9746"/>
      </w:tabs>
      <w:spacing w:after="0" w:before="0" w:line="240" w:lineRule="auto"/>
      <w:ind w:right="0" w:firstLine="0" w:left="0"/>
      <w:jc w:val="left"/>
      <w:rPr>
        <w:rFonts w:ascii="Calibri" w:hAnsi="Calibri" w:eastAsia="Calibri" w:cs="Calibri"/>
        <w:b w:val="0"/>
        <w:bCs w:val="0"/>
        <w:i w:val="0"/>
        <w:iCs w:val="0"/>
        <w:smallCaps w:val="0"/>
        <w:strike w:val="0"/>
        <w:color w:val="000000"/>
        <w:sz w:val="22"/>
        <w:szCs w:val="22"/>
        <w:u w:val="none"/>
        <w:shd w:val="clear" w:color="auto" w:fill="auto"/>
        <w:vertAlign w:val="baseline"/>
      </w:rPr>
    </w:pPr>
    <w:r>
      <w:rPr>
        <w:rtl w:val="0"/>
      </w:rPr>
    </w:r>
    <w:r>
      <w:rPr>
        <w:rFonts w:ascii="Calibri" w:hAnsi="Calibri" w:eastAsia="Calibri" w:cs="Calibri"/>
        <w:b w:val="0"/>
        <w:bCs w:val="0"/>
        <w:i w:val="0"/>
        <w:iCs w:val="0"/>
        <w:smallCaps w:val="0"/>
        <w:strike w:val="0"/>
        <w:color w:val="000000"/>
        <w:sz w:val="22"/>
        <w:szCs w:val="22"/>
        <w:u w:val="none"/>
        <w:shd w:val="clear" w:color="auto" w:fill="auto"/>
        <w:vertAlign w:val="baseline"/>
      </w:rPr>
    </w:r>
    <w:r>
      <w:rPr>
        <w:rFonts w:ascii="Calibri" w:hAnsi="Calibri" w:eastAsia="Calibri" w:cs="Calibri"/>
        <w:b w:val="0"/>
        <w:bCs w:val="0"/>
        <w:i w:val="0"/>
        <w:iCs w:val="0"/>
        <w:smallCaps w:val="0"/>
        <w:strike w:val="0"/>
        <w:color w:val="000000"/>
        <w:sz w:val="22"/>
        <w:szCs w:val="22"/>
        <w:u w:val="none"/>
        <w:shd w:val="clear" w:color="auto" w:fill="auto"/>
        <w:vertAlign w:val="baseline"/>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0000064">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s>
      <w:spacing w:after="0" w:before="0" w:line="240" w:lineRule="auto"/>
      <w:ind w:right="0" w:firstLine="0" w:left="0"/>
      <w:jc w:val="left"/>
      <w:rPr>
        <w:rFonts w:ascii="Calibri" w:hAnsi="Calibri" w:eastAsia="Calibri" w:cs="Calibri"/>
        <w:b w:val="0"/>
        <w:bCs w:val="0"/>
        <w:i w:val="0"/>
        <w:iCs w:val="0"/>
        <w:smallCaps w:val="0"/>
        <w:strike w:val="0"/>
        <w:color w:val="000000"/>
        <w:sz w:val="24"/>
        <w:szCs w:val="24"/>
        <w:u w:val="none"/>
        <w:shd w:val="clear" w:color="auto" w:fill="auto"/>
        <w:vertAlign w:val="baseline"/>
      </w:rPr>
    </w:pPr>
    <w:r>
      <w:rPr>
        <w:rtl w:val="0"/>
      </w:rPr>
    </w:r>
    <w:r>
      <w:rPr>
        <w:rFonts w:ascii="Calibri" w:hAnsi="Calibri" w:eastAsia="Calibri" w:cs="Calibri"/>
        <w:b w:val="0"/>
        <w:bCs w:val="0"/>
        <w:i w:val="0"/>
        <w:iCs w:val="0"/>
        <w:smallCaps w:val="0"/>
        <w:strike w:val="0"/>
        <w:color w:val="000000"/>
        <w:sz w:val="24"/>
        <w:szCs w:val="24"/>
        <w:u w:val="none"/>
        <w:shd w:val="clear" w:color="auto" w:fill="auto"/>
        <w:vertAlign w:val="baseline"/>
      </w:rPr>
    </w:r>
    <w:r>
      <w:rPr>
        <w:rFonts w:ascii="Calibri" w:hAnsi="Calibri" w:eastAsia="Calibri" w:cs="Calibri"/>
        <w:b w:val="0"/>
        <w:bCs w:val="0"/>
        <w:i w:val="0"/>
        <w:iCs w:val="0"/>
        <w:smallCaps w:val="0"/>
        <w:strike w:val="0"/>
        <w:color w:val="000000"/>
        <w:sz w:val="24"/>
        <w:szCs w:val="24"/>
        <w:u w:val="none"/>
        <w:shd w:val="clear" w:color="auto" w:fill="auto"/>
        <w:vertAlign w:val="baseline"/>
      </w:rPr>
    </w:r>
  </w:p>
  <w:p w14:paraId="00000065">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 w:val="right" w:leader="none" w:pos="9781"/>
      </w:tabs>
      <w:spacing w:after="0" w:before="0" w:line="240" w:lineRule="auto"/>
      <w:ind w:right="0" w:firstLine="0" w:left="0"/>
      <w:jc w:val="left"/>
      <w:rPr>
        <w:rFonts w:ascii="Calibri" w:hAnsi="Calibri" w:eastAsia="Calibri" w:cs="Calibri"/>
        <w:b w:val="0"/>
        <w:bCs w:val="0"/>
        <w:i w:val="0"/>
        <w:iCs w:val="0"/>
        <w:smallCaps w:val="0"/>
        <w:strike w:val="0"/>
        <w:color w:val="000000"/>
        <w:sz w:val="18"/>
        <w:szCs w:val="18"/>
        <w:u w:val="single"/>
        <w:shd w:val="clear" w:color="auto" w:fill="auto"/>
        <w:vertAlign w:val="baseline"/>
      </w:rPr>
    </w:pPr>
    <w:r>
      <w:rPr>
        <w:rFonts w:ascii="Calibri" w:hAnsi="Calibri" w:eastAsia="Calibri" w:cs="Calibri"/>
        <w:b/>
        <w:bCs/>
        <w:i w:val="0"/>
        <w:iCs w:val="0"/>
        <w:smallCaps/>
        <w:strike w:val="0"/>
        <w:color w:val="000000"/>
        <w:sz w:val="24"/>
        <w:szCs w:val="24"/>
        <w:u w:val="none"/>
        <w:shd w:val="clear" w:color="auto" w:fill="auto"/>
        <w:vertAlign w:val="baseline"/>
        <w:rtl w:val="0"/>
      </w:rPr>
      <w:t xml:space="preserve">Terms of reference / specifications</w:t>
    </w:r>
    <w:r>
      <w:rPr>
        <w:rFonts w:ascii="Calibri" w:hAnsi="Calibri" w:eastAsia="Calibri" w:cs="Calibri"/>
        <w:b w:val="0"/>
        <w:bCs w:val="0"/>
        <w:i w:val="0"/>
        <w:iCs w:val="0"/>
        <w:smallCaps w:val="0"/>
        <w:strike w:val="0"/>
        <w:color w:val="000000"/>
        <w:sz w:val="18"/>
        <w:szCs w:val="18"/>
        <w:u w:val="single"/>
        <w:shd w:val="clear" w:color="auto" w:fill="auto"/>
        <w:vertAlign w:val="baseline"/>
      </w:rPr>
    </w:r>
    <w:r>
      <w:rPr>
        <w:rFonts w:ascii="Calibri" w:hAnsi="Calibri" w:eastAsia="Calibri" w:cs="Calibri"/>
        <w:b w:val="0"/>
        <w:bCs w:val="0"/>
        <w:i w:val="0"/>
        <w:iCs w:val="0"/>
        <w:smallCaps w:val="0"/>
        <w:strike w:val="0"/>
        <w:color w:val="000000"/>
        <w:sz w:val="18"/>
        <w:szCs w:val="18"/>
        <w:u w:val="single"/>
        <w:shd w:val="clear" w:color="auto" w:fill="auto"/>
        <w:vertAlign w:val="baseline"/>
      </w:rPr>
    </w:r>
  </w:p>
  <w:p w14:paraId="00000066">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 w:val="right" w:leader="none" w:pos="9781"/>
      </w:tabs>
      <w:spacing w:after="0" w:before="0" w:line="240" w:lineRule="auto"/>
      <w:ind w:right="0" w:firstLine="0" w:left="0"/>
      <w:jc w:val="left"/>
      <w:rPr>
        <w:rFonts w:ascii="Calibri" w:hAnsi="Calibri" w:eastAsia="Calibri" w:cs="Calibri"/>
        <w:b w:val="0"/>
        <w:bCs w:val="0"/>
        <w:i w:val="0"/>
        <w:iCs w:val="0"/>
        <w:smallCaps w:val="0"/>
        <w:strike w:val="0"/>
        <w:color w:val="000000"/>
        <w:sz w:val="18"/>
        <w:szCs w:val="18"/>
        <w:u w:val="single"/>
        <w:shd w:val="clear" w:color="auto" w:fill="auto"/>
        <w:vertAlign w:val="baseline"/>
      </w:rPr>
    </w:pPr>
    <w:r>
      <w:rPr>
        <w:rFonts w:ascii="Times New Roman" w:hAnsi="Times New Roman" w:eastAsia="Times New Roman" w:cs="Times New Roman"/>
        <w:b w:val="0"/>
        <w:bCs w:val="0"/>
        <w:i w:val="0"/>
        <w:iCs w:val="0"/>
        <w:smallCaps w:val="0"/>
        <w:strike w:val="0"/>
        <w:color w:val="000000"/>
        <w:sz w:val="24"/>
        <w:szCs w:val="24"/>
        <w:u w:val="single"/>
        <w:shd w:val="clear" w:color="auto" w:fill="auto"/>
        <w:vertAlign w:val="baseline"/>
        <w:rtl w:val="0"/>
      </w:rPr>
      <w:tab/>
    </w:r>
    <w:r>
      <w:rPr>
        <w:rFonts w:ascii="Calibri" w:hAnsi="Calibri" w:eastAsia="Calibri" w:cs="Calibri"/>
        <w:b w:val="0"/>
        <w:bCs w:val="0"/>
        <w:i w:val="0"/>
        <w:iCs w:val="0"/>
        <w:smallCaps w:val="0"/>
        <w:strike w:val="0"/>
        <w:color w:val="000000"/>
        <w:sz w:val="18"/>
        <w:szCs w:val="18"/>
        <w:u w:val="single"/>
        <w:shd w:val="clear" w:color="auto" w:fill="auto"/>
        <w:vertAlign w:val="baseline"/>
      </w:rPr>
    </w:r>
    <w:r>
      <w:rPr>
        <w:rFonts w:ascii="Calibri" w:hAnsi="Calibri" w:eastAsia="Calibri" w:cs="Calibri"/>
        <w:b w:val="0"/>
        <w:bCs w:val="0"/>
        <w:i w:val="0"/>
        <w:iCs w:val="0"/>
        <w:smallCaps w:val="0"/>
        <w:strike w:val="0"/>
        <w:color w:val="000000"/>
        <w:sz w:val="18"/>
        <w:szCs w:val="18"/>
        <w:u w:val="single"/>
        <w:shd w:val="clear" w:color="auto" w:fill="auto"/>
        <w:vertAlign w:val="baselin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0000063">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s>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24"/>
        <w:szCs w:val="24"/>
        <w:u w:val="none"/>
        <w:shd w:val="clear" w:color="auto" w:fill="auto"/>
        <w:vertAlign w:val="baseline"/>
      </w:rPr>
    </w:pPr>
    <w:r>
      <w:rPr>
        <w:rFonts w:ascii="Times New Roman" w:hAnsi="Times New Roman" w:eastAsia="Times New Roman" w:cs="Times New Roman"/>
        <w:b w:val="0"/>
        <w:bCs w:val="0"/>
        <w:i w:val="0"/>
        <w:iCs w:val="0"/>
        <w:smallCaps w:val="0"/>
        <w:strike w:val="0"/>
        <w:color w:val="000000"/>
        <w:sz w:val="24"/>
        <w:szCs w:val="24"/>
        <w:u w:val="none"/>
        <w:shd w:val="clear" w:color="auto" w:fill="auto"/>
        <w:vertAlign w:val="baseline"/>
      </w:rPr>
      <mc:AlternateContent>
        <mc:Choice Requires="wpg">
          <w:drawing>
            <wp:anchor xmlns:wp="http://schemas.openxmlformats.org/drawingml/2006/wordprocessingDrawing" xmlns:wp14="http://schemas.microsoft.com/office/word/2010/wordprocessingDrawing" distT="0" distB="0" distL="0" distR="0" simplePos="0" relativeHeight="0" behindDoc="1" locked="0" layoutInCell="1" allowOverlap="1">
              <wp:simplePos x="0" y="0"/>
              <wp:positionH relativeFrom="margin">
                <wp:align>center</wp:align>
              </wp:positionH>
              <wp:positionV relativeFrom="margin">
                <wp:align>center</wp:align>
              </wp:positionV>
              <wp:extent cx="10706100" cy="10693400"/>
              <wp:effectExtent l="0" t="0" r="0" b="0"/>
              <wp:wrapNone/>
              <wp:docPr id="1" name="image3.png" descr="Fond FEI"/>
              <wp:cNvGraphicFramePr/>
              <a:graphic xmlns:a="http://schemas.openxmlformats.org/drawingml/2006/main">
                <a:graphicData uri="http://schemas.openxmlformats.org/drawingml/2006/picture">
                  <pic:pic xmlns:pic="http://schemas.openxmlformats.org/drawingml/2006/picture">
                    <pic:nvPicPr>
                      <pic:cNvPr id="0" name="image3.png" descr="Fond FEI"/>
                      <pic:cNvPicPr/>
                      <pic:nvPr/>
                    </pic:nvPicPr>
                    <pic:blipFill rotWithShape="1">
                      <a:blip r:embed="rId1"/>
                      <a:srcRect l="0" t="0" r="0" b="0"/>
                      <a:stretch/>
                    </pic:blipFill>
                    <pic:spPr bwMode="auto">
                      <a:xfrm>
                        <a:off x="0" y="0"/>
                        <a:ext cx="10706100" cy="10693400"/>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0;o:allowoverlap:true;o:allowincell:true;mso-position-horizontal-relative:margin;mso-position-horizontal:center;mso-position-vertical-relative:margin;mso-position-vertical:center;width:843.00pt;height:842.00pt;mso-wrap-distance-left:0.00pt;mso-wrap-distance-top:0.00pt;mso-wrap-distance-right:0.00pt;mso-wrap-distance-bottom:0.00pt;z-index:1;">
              <v:imagedata r:id="rId1" o:title="" croptop="0f" cropleft="0f" cropbottom="0f" cropright="0f"/>
              <o:lock v:ext="edit" rotation="t"/>
            </v:shape>
          </w:pict>
        </mc:Fallback>
      </mc:AlternateContent>
    </w:r>
    <w:r>
      <w:rPr>
        <w:rFonts w:ascii="Times New Roman" w:hAnsi="Times New Roman" w:eastAsia="Times New Roman" w:cs="Times New Roman"/>
        <w:b w:val="0"/>
        <w:bCs w:val="0"/>
        <w:i w:val="0"/>
        <w:iCs w:val="0"/>
        <w:smallCaps w:val="0"/>
        <w:strike w:val="0"/>
        <w:color w:val="000000"/>
        <w:sz w:val="24"/>
        <w:szCs w:val="24"/>
        <w:u w:val="none"/>
        <w:shd w:val="clear" w:color="auto" w:fill="auto"/>
        <w:vertAlign w:val="baseline"/>
      </w:rPr>
      <mc:AlternateContent>
        <mc:Choice Requires="wpg">
          <w:drawing>
            <wp:inline xmlns:wp="http://schemas.openxmlformats.org/drawingml/2006/wordprocessingDrawing" distT="0" distB="0" distL="0" distR="0">
              <wp:extent cx="10706100" cy="10693400"/>
              <wp:effectExtent l="0" t="0" r="0" b="0"/>
              <wp:docPr id="2" name="WordPictureWatermark1"/>
              <wp:cNvGraphicFramePr/>
              <a:graphic xmlns:a="http://schemas.openxmlformats.org/drawingml/2006/main">
                <a:graphicData uri="http://schemas.openxmlformats.org/drawingml/2006/picture">
                  <pic:pic xmlns:pic="http://schemas.openxmlformats.org/drawingml/2006/picture">
                    <pic:nvPicPr>
                      <pic:cNvPr id="0" name="" descr="image1.png"/>
                      <pic:cNvPicPr/>
                      <pic:nvPr/>
                    </pic:nvPicPr>
                    <pic:blipFill rotWithShape="1">
                      <a:blip r:embed="rId2"/>
                      <a:srcRect l="0" t="0" r="0" b="0"/>
                      <a:stretch/>
                    </pic:blipFill>
                    <pic:spPr bwMode="auto">
                      <a:xfrm rot="0">
                        <a:off x="0" y="0"/>
                        <a:ext cx="10706100" cy="10693400"/>
                      </a:xfrm>
                      <a:prstGeom prst="rect">
                        <a:avLst/>
                      </a:prstGeom>
                      <a:solidFill>
                        <a:srgbClr val="FFFFFF"/>
                      </a:solid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 type="#_x0000_t75" style="width:843.00pt;height:842.00pt;mso-wrap-distance-left:0.00pt;mso-wrap-distance-top:0.00pt;mso-wrap-distance-right:0.00pt;mso-wrap-distance-bottom:0.00pt;rotation:0;z-index:1;" stroked="false">
              <v:imagedata r:id="rId2" o:title="" croptop="0f" cropleft="0f" cropbottom="0f" cropright="0f"/>
              <o:lock v:ext="edit" rotation="t"/>
            </v:shape>
          </w:pict>
        </mc:Fallback>
      </mc:AlternateContent>
    </w:r>
    <w:r>
      <w:rPr>
        <w:rFonts w:ascii="Times New Roman" w:hAnsi="Times New Roman" w:eastAsia="Times New Roman" w:cs="Times New Roman"/>
        <w:b w:val="0"/>
        <w:bCs w:val="0"/>
        <w:i w:val="0"/>
        <w:iCs w:val="0"/>
        <w:smallCaps w:val="0"/>
        <w:strike w:val="0"/>
        <w:color w:val="000000"/>
        <w:sz w:val="24"/>
        <w:szCs w:val="24"/>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24"/>
        <w:szCs w:val="24"/>
        <w:u w:val="none"/>
        <w:shd w:val="clear" w:color="auto" w:fill="auto"/>
        <w:vertAlign w:val="baseline"/>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0000067">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s>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24"/>
        <w:szCs w:val="24"/>
        <w:u w:val="none"/>
        <w:shd w:val="clear" w:color="auto" w:fill="auto"/>
        <w:vertAlign w:val="baseline"/>
      </w:rPr>
    </w:pPr>
    <w:r/>
    <w:bookmarkStart w:id="0" w:name="_heading=h.edru45m8epea"/>
    <w:r/>
    <w:bookmarkEnd w:id="0"/>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1</wp:posOffset>
              </wp:positionH>
              <wp:positionV relativeFrom="paragraph">
                <wp:posOffset>-176529</wp:posOffset>
              </wp:positionV>
              <wp:extent cx="1866900" cy="980913"/>
              <wp:effectExtent l="0" t="0" r="0" b="0"/>
              <wp:wrapSquare wrapText="bothSides"/>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r/>
                    </pic:nvPicPr>
                    <pic:blipFill rotWithShape="1">
                      <a:blip r:embed="rId1"/>
                      <a:srcRect l="10815" t="17177" r="11039" b="15858"/>
                      <a:stretch/>
                    </pic:blipFill>
                    <pic:spPr bwMode="auto">
                      <a:xfrm>
                        <a:off x="0" y="0"/>
                        <a:ext cx="1866900" cy="980913"/>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0;o:allowoverlap:true;o:allowincell:true;mso-position-horizontal-relative:text;margin-left:0.00pt;mso-position-horizontal:absolute;mso-position-vertical-relative:text;margin-top:-13.90pt;mso-position-vertical:absolute;width:147.00pt;height:77.24pt;mso-wrap-distance-left:9.00pt;mso-wrap-distance-top:0.00pt;mso-wrap-distance-right:9.00pt;mso-wrap-distance-bottom:0.00pt;z-index:1;">
              <w10:wrap type="square"/>
              <v:imagedata r:id="rId1" o:title="" croptop="11257f" cropleft="7088f" cropbottom="10393f" cropright="7235f"/>
              <o:lock v:ext="edit" rotation="t"/>
            </v:shape>
          </w:pict>
        </mc:Fallback>
      </mc:AlternateContent>
    </w:r>
    <w:r>
      <w:rPr>
        <w:rFonts w:ascii="Times New Roman" w:hAnsi="Times New Roman" w:eastAsia="Times New Roman" w:cs="Times New Roman"/>
        <w:b w:val="0"/>
        <w:bCs w:val="0"/>
        <w:i w:val="0"/>
        <w:iCs w:val="0"/>
        <w:smallCaps w:val="0"/>
        <w:strike w:val="0"/>
        <w:color w:val="000000"/>
        <w:sz w:val="24"/>
        <w:szCs w:val="24"/>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24"/>
        <w:szCs w:val="24"/>
        <w:u w:val="none"/>
        <w:shd w:val="clear" w:color="auto" w:fill="auto"/>
        <w:vertAlign w:val="baseline"/>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right"/>
      <w:lvlText w:val="%1."/>
      <w:numFmt w:val="upperRoman"/>
      <w:pPr>
        <w:pBdr/>
        <w:spacing/>
        <w:ind w:hanging="180" w:left="720"/>
      </w:pPr>
      <w:rPr>
        <w:rFonts w:ascii="Calibri" w:hAnsi="Calibri" w:eastAsia="Calibri" w:cs="Calibri"/>
        <w:b/>
        <w:bCs/>
        <w:i w:val="0"/>
        <w:iCs w:val="0"/>
        <w:sz w:val="24"/>
        <w:szCs w:val="24"/>
      </w:rPr>
      <w:start w:val="1"/>
      <w:suff w:val="tab"/>
    </w:lvl>
    <w:lvl w:ilvl="1">
      <w:isLgl w:val="false"/>
      <w:lvlJc w:val="left"/>
      <w:lvlText w:val="%2)"/>
      <w:numFmt w:val="decimal"/>
      <w:pPr>
        <w:pBdr/>
        <w:spacing/>
        <w:ind w:hanging="360" w:left="1440"/>
      </w:pPr>
      <w:rPr>
        <w:rFonts w:ascii="Calibri" w:hAnsi="Calibri" w:eastAsia="Calibri" w:cs="Calibri"/>
        <w:b/>
        <w:bCs/>
        <w:i w:val="0"/>
        <w:iCs w:val="0"/>
        <w:sz w:val="22"/>
        <w:szCs w:val="22"/>
      </w:rPr>
      <w:start w:val="1"/>
      <w:suff w:val="tab"/>
    </w:lvl>
    <w:lvl w:ilvl="2">
      <w:isLgl w:val="false"/>
      <w:lvlJc w:val="left"/>
      <w:lvlText w:val="%3."/>
      <w:numFmt w:val="decimal"/>
      <w:pPr>
        <w:pBdr/>
        <w:spacing/>
        <w:ind w:hanging="360" w:left="2340"/>
      </w:pPr>
      <w:rPr>
        <w:rFonts w:ascii="Calibri" w:hAnsi="Calibri" w:eastAsia="Calibri" w:cs="Calibri"/>
        <w:b w:val="0"/>
        <w:bCs w:val="0"/>
        <w:i w:val="0"/>
        <w:iCs w:val="0"/>
        <w:sz w:val="22"/>
        <w:szCs w:val="22"/>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lvl w:ilvl="0">
      <w:isLgl w:val="false"/>
      <w:lvlJc w:val="left"/>
      <w:lvlText w:val="−"/>
      <w:numFmt w:val="bullet"/>
      <w:pPr>
        <w:pBdr/>
        <w:spacing/>
        <w:ind w:hanging="360" w:left="1440"/>
      </w:pPr>
      <w:rPr>
        <w:rFonts w:ascii="Noto Sans Symbols" w:hAnsi="Noto Sans Symbols" w:eastAsia="Noto Sans Symbols" w:cs="Noto Sans Symbols"/>
      </w:rPr>
      <w:start w:val="1"/>
      <w:suff w:val="tab"/>
    </w:lvl>
    <w:lvl w:ilvl="1">
      <w:isLgl w:val="false"/>
      <w:lvlJc w:val="left"/>
      <w:lvlText w:val="o"/>
      <w:numFmt w:val="bullet"/>
      <w:pPr>
        <w:pBdr/>
        <w:spacing/>
        <w:ind w:hanging="360" w:left="2160"/>
      </w:pPr>
      <w:rPr>
        <w:rFonts w:ascii="Courier New" w:hAnsi="Courier New" w:eastAsia="Courier New" w:cs="Courier New"/>
      </w:rPr>
      <w:start w:val="1"/>
      <w:suff w:val="tab"/>
    </w:lvl>
    <w:lvl w:ilvl="2">
      <w:isLgl w:val="false"/>
      <w:lvlJc w:val="left"/>
      <w:lvlText w:val="▪"/>
      <w:numFmt w:val="bullet"/>
      <w:pPr>
        <w:pBdr/>
        <w:spacing/>
        <w:ind w:hanging="360" w:left="2880"/>
      </w:pPr>
      <w:rPr>
        <w:rFonts w:ascii="Noto Sans Symbols" w:hAnsi="Noto Sans Symbols" w:eastAsia="Noto Sans Symbols" w:cs="Noto Sans Symbols"/>
      </w:rPr>
      <w:start w:val="1"/>
      <w:suff w:val="tab"/>
    </w:lvl>
    <w:lvl w:ilvl="3">
      <w:isLgl w:val="false"/>
      <w:lvlJc w:val="left"/>
      <w:lvlText w:val="●"/>
      <w:numFmt w:val="bullet"/>
      <w:pPr>
        <w:pBdr/>
        <w:spacing/>
        <w:ind w:hanging="360" w:left="3600"/>
      </w:pPr>
      <w:rPr>
        <w:rFonts w:ascii="Noto Sans Symbols" w:hAnsi="Noto Sans Symbols" w:eastAsia="Noto Sans Symbols" w:cs="Noto Sans Symbols"/>
      </w:rPr>
      <w:start w:val="1"/>
      <w:suff w:val="tab"/>
    </w:lvl>
    <w:lvl w:ilvl="4">
      <w:isLgl w:val="false"/>
      <w:lvlJc w:val="left"/>
      <w:lvlText w:val="o"/>
      <w:numFmt w:val="bullet"/>
      <w:pPr>
        <w:pBdr/>
        <w:spacing/>
        <w:ind w:hanging="360" w:left="4320"/>
      </w:pPr>
      <w:rPr>
        <w:rFonts w:ascii="Courier New" w:hAnsi="Courier New" w:eastAsia="Courier New" w:cs="Courier New"/>
      </w:rPr>
      <w:start w:val="1"/>
      <w:suff w:val="tab"/>
    </w:lvl>
    <w:lvl w:ilvl="5">
      <w:isLgl w:val="false"/>
      <w:lvlJc w:val="left"/>
      <w:lvlText w:val="▪"/>
      <w:numFmt w:val="bullet"/>
      <w:pPr>
        <w:pBdr/>
        <w:spacing/>
        <w:ind w:hanging="360" w:left="5040"/>
      </w:pPr>
      <w:rPr>
        <w:rFonts w:ascii="Noto Sans Symbols" w:hAnsi="Noto Sans Symbols" w:eastAsia="Noto Sans Symbols" w:cs="Noto Sans Symbols"/>
      </w:rPr>
      <w:start w:val="1"/>
      <w:suff w:val="tab"/>
    </w:lvl>
    <w:lvl w:ilvl="6">
      <w:isLgl w:val="false"/>
      <w:lvlJc w:val="left"/>
      <w:lvlText w:val="●"/>
      <w:numFmt w:val="bullet"/>
      <w:pPr>
        <w:pBdr/>
        <w:spacing/>
        <w:ind w:hanging="360" w:left="5760"/>
      </w:pPr>
      <w:rPr>
        <w:rFonts w:ascii="Noto Sans Symbols" w:hAnsi="Noto Sans Symbols" w:eastAsia="Noto Sans Symbols" w:cs="Noto Sans Symbols"/>
      </w:rPr>
      <w:start w:val="1"/>
      <w:suff w:val="tab"/>
    </w:lvl>
    <w:lvl w:ilvl="7">
      <w:isLgl w:val="false"/>
      <w:lvlJc w:val="left"/>
      <w:lvlText w:val="o"/>
      <w:numFmt w:val="bullet"/>
      <w:pPr>
        <w:pBdr/>
        <w:spacing/>
        <w:ind w:hanging="360" w:left="6480"/>
      </w:pPr>
      <w:rPr>
        <w:rFonts w:ascii="Courier New" w:hAnsi="Courier New" w:eastAsia="Courier New" w:cs="Courier New"/>
      </w:rPr>
      <w:start w:val="1"/>
      <w:suff w:val="tab"/>
    </w:lvl>
    <w:lvl w:ilvl="8">
      <w:isLgl w:val="false"/>
      <w:lvlJc w:val="left"/>
      <w:lvlText w:val="▪"/>
      <w:numFmt w:val="bullet"/>
      <w:pPr>
        <w:pBdr/>
        <w:spacing/>
        <w:ind w:hanging="360" w:left="7200"/>
      </w:pPr>
      <w:rPr>
        <w:rFonts w:ascii="Noto Sans Symbols" w:hAnsi="Noto Sans Symbols" w:eastAsia="Noto Sans Symbols" w:cs="Noto Sans Symbols"/>
      </w:rPr>
      <w:start w:val="1"/>
      <w:suff w:val="tab"/>
    </w:lvl>
  </w:abstractNum>
  <w:abstractNum w:abstractNumId="2">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
      <w:numFmt w:val="bullet"/>
      <w:pPr>
        <w:pBdr/>
        <w:spacing/>
        <w:ind w:hanging="360" w:left="1440"/>
      </w:pPr>
      <w:rPr>
        <w:rFonts w:ascii="Noto Sans Symbols" w:hAnsi="Noto Sans Symbols" w:eastAsia="Noto Sans Symbols" w:cs="Noto Sans Symbols"/>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4."/>
      <w:numFmt w:val="decimal"/>
      <w:pPr>
        <w:pBdr/>
        <w:spacing/>
        <w:ind w:hanging="360" w:left="2880"/>
      </w:pPr>
      <w:rPr/>
      <w:start w:val="1"/>
      <w:suff w:val="tab"/>
    </w:lvl>
    <w:lvl w:ilvl="4">
      <w:isLgl w:val="false"/>
      <w:lvlJc w:val="left"/>
      <w:lvlText w:val="%5."/>
      <w:numFmt w:val="decimal"/>
      <w:pPr>
        <w:pBdr/>
        <w:spacing/>
        <w:ind w:hanging="360" w:left="3600"/>
      </w:pPr>
      <w:rPr/>
      <w:start w:val="1"/>
      <w:suff w:val="tab"/>
    </w:lvl>
    <w:lvl w:ilvl="5">
      <w:isLgl w:val="false"/>
      <w:lvlJc w:val="left"/>
      <w:lvlText w:val="%6."/>
      <w:numFmt w:val="decimal"/>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decimal"/>
      <w:pPr>
        <w:pBdr/>
        <w:spacing/>
        <w:ind w:hanging="360" w:left="5760"/>
      </w:pPr>
      <w:rPr/>
      <w:start w:val="1"/>
      <w:suff w:val="tab"/>
    </w:lvl>
    <w:lvl w:ilvl="8">
      <w:isLgl w:val="false"/>
      <w:lvlJc w:val="left"/>
      <w:lvlText w:val="%9."/>
      <w:numFmt w:val="decimal"/>
      <w:pPr>
        <w:pBdr/>
        <w:spacing/>
        <w:ind w:hanging="360" w:left="6480"/>
      </w:pPr>
      <w:rPr/>
      <w:start w:val="1"/>
      <w:suff w:val="tab"/>
    </w:lvl>
  </w:abstractNum>
  <w:abstractNum w:abstractNumId="3">
    <w:lvl w:ilvl="0">
      <w:isLgl w:val="false"/>
      <w:lvlJc w:val="left"/>
      <w:lvlText w:val="−"/>
      <w:numFmt w:val="bullet"/>
      <w:pPr>
        <w:pBdr/>
        <w:spacing/>
        <w:ind w:hanging="360" w:left="1440"/>
      </w:pPr>
      <w:rPr>
        <w:rFonts w:ascii="Noto Sans Symbols" w:hAnsi="Noto Sans Symbols" w:eastAsia="Noto Sans Symbols" w:cs="Noto Sans Symbols"/>
      </w:rPr>
      <w:start w:val="1"/>
      <w:suff w:val="tab"/>
    </w:lvl>
    <w:lvl w:ilvl="1">
      <w:isLgl w:val="false"/>
      <w:lvlJc w:val="left"/>
      <w:lvlText w:val="o"/>
      <w:numFmt w:val="bullet"/>
      <w:pPr>
        <w:pBdr/>
        <w:spacing/>
        <w:ind w:hanging="360" w:left="2160"/>
      </w:pPr>
      <w:rPr>
        <w:rFonts w:ascii="Courier New" w:hAnsi="Courier New" w:eastAsia="Courier New" w:cs="Courier New"/>
      </w:rPr>
      <w:start w:val="1"/>
      <w:suff w:val="tab"/>
    </w:lvl>
    <w:lvl w:ilvl="2">
      <w:isLgl w:val="false"/>
      <w:lvlJc w:val="left"/>
      <w:lvlText w:val="▪"/>
      <w:numFmt w:val="bullet"/>
      <w:pPr>
        <w:pBdr/>
        <w:spacing/>
        <w:ind w:hanging="360" w:left="2880"/>
      </w:pPr>
      <w:rPr>
        <w:rFonts w:ascii="Noto Sans Symbols" w:hAnsi="Noto Sans Symbols" w:eastAsia="Noto Sans Symbols" w:cs="Noto Sans Symbols"/>
      </w:rPr>
      <w:start w:val="1"/>
      <w:suff w:val="tab"/>
    </w:lvl>
    <w:lvl w:ilvl="3">
      <w:isLgl w:val="false"/>
      <w:lvlJc w:val="left"/>
      <w:lvlText w:val="●"/>
      <w:numFmt w:val="bullet"/>
      <w:pPr>
        <w:pBdr/>
        <w:spacing/>
        <w:ind w:hanging="360" w:left="3600"/>
      </w:pPr>
      <w:rPr>
        <w:rFonts w:ascii="Noto Sans Symbols" w:hAnsi="Noto Sans Symbols" w:eastAsia="Noto Sans Symbols" w:cs="Noto Sans Symbols"/>
      </w:rPr>
      <w:start w:val="1"/>
      <w:suff w:val="tab"/>
    </w:lvl>
    <w:lvl w:ilvl="4">
      <w:isLgl w:val="false"/>
      <w:lvlJc w:val="left"/>
      <w:lvlText w:val="o"/>
      <w:numFmt w:val="bullet"/>
      <w:pPr>
        <w:pBdr/>
        <w:spacing/>
        <w:ind w:hanging="360" w:left="4320"/>
      </w:pPr>
      <w:rPr>
        <w:rFonts w:ascii="Courier New" w:hAnsi="Courier New" w:eastAsia="Courier New" w:cs="Courier New"/>
      </w:rPr>
      <w:start w:val="1"/>
      <w:suff w:val="tab"/>
    </w:lvl>
    <w:lvl w:ilvl="5">
      <w:isLgl w:val="false"/>
      <w:lvlJc w:val="left"/>
      <w:lvlText w:val="▪"/>
      <w:numFmt w:val="bullet"/>
      <w:pPr>
        <w:pBdr/>
        <w:spacing/>
        <w:ind w:hanging="360" w:left="5040"/>
      </w:pPr>
      <w:rPr>
        <w:rFonts w:ascii="Noto Sans Symbols" w:hAnsi="Noto Sans Symbols" w:eastAsia="Noto Sans Symbols" w:cs="Noto Sans Symbols"/>
      </w:rPr>
      <w:start w:val="1"/>
      <w:suff w:val="tab"/>
    </w:lvl>
    <w:lvl w:ilvl="6">
      <w:isLgl w:val="false"/>
      <w:lvlJc w:val="left"/>
      <w:lvlText w:val="●"/>
      <w:numFmt w:val="bullet"/>
      <w:pPr>
        <w:pBdr/>
        <w:spacing/>
        <w:ind w:hanging="360" w:left="5760"/>
      </w:pPr>
      <w:rPr>
        <w:rFonts w:ascii="Noto Sans Symbols" w:hAnsi="Noto Sans Symbols" w:eastAsia="Noto Sans Symbols" w:cs="Noto Sans Symbols"/>
      </w:rPr>
      <w:start w:val="1"/>
      <w:suff w:val="tab"/>
    </w:lvl>
    <w:lvl w:ilvl="7">
      <w:isLgl w:val="false"/>
      <w:lvlJc w:val="left"/>
      <w:lvlText w:val="o"/>
      <w:numFmt w:val="bullet"/>
      <w:pPr>
        <w:pBdr/>
        <w:spacing/>
        <w:ind w:hanging="360" w:left="6480"/>
      </w:pPr>
      <w:rPr>
        <w:rFonts w:ascii="Courier New" w:hAnsi="Courier New" w:eastAsia="Courier New" w:cs="Courier New"/>
      </w:rPr>
      <w:start w:val="1"/>
      <w:suff w:val="tab"/>
    </w:lvl>
    <w:lvl w:ilvl="8">
      <w:isLgl w:val="false"/>
      <w:lvlJc w:val="left"/>
      <w:lvlText w:val="▪"/>
      <w:numFmt w:val="bullet"/>
      <w:pPr>
        <w:pBdr/>
        <w:spacing/>
        <w:ind w:hanging="360" w:left="7200"/>
      </w:pPr>
      <w:rPr>
        <w:rFonts w:ascii="Noto Sans Symbols" w:hAnsi="Noto Sans Symbols" w:eastAsia="Noto Sans Symbols" w:cs="Noto Sans Symbols"/>
      </w:rPr>
      <w:start w:val="1"/>
      <w:suff w:val="tab"/>
    </w:lvl>
  </w:abstractNum>
  <w:abstractNum w:abstractNumId="4">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5">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6">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7">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
      <w:numFmt w:val="bullet"/>
      <w:pPr>
        <w:pBdr/>
        <w:spacing/>
        <w:ind w:hanging="360" w:left="1440"/>
      </w:pPr>
      <w:rPr>
        <w:rFonts w:ascii="Noto Sans Symbols" w:hAnsi="Noto Sans Symbols" w:eastAsia="Noto Sans Symbols" w:cs="Noto Sans Symbols"/>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4."/>
      <w:numFmt w:val="decimal"/>
      <w:pPr>
        <w:pBdr/>
        <w:spacing/>
        <w:ind w:hanging="360" w:left="2880"/>
      </w:pPr>
      <w:rPr/>
      <w:start w:val="1"/>
      <w:suff w:val="tab"/>
    </w:lvl>
    <w:lvl w:ilvl="4">
      <w:isLgl w:val="false"/>
      <w:lvlJc w:val="left"/>
      <w:lvlText w:val="%5."/>
      <w:numFmt w:val="decimal"/>
      <w:pPr>
        <w:pBdr/>
        <w:spacing/>
        <w:ind w:hanging="360" w:left="3600"/>
      </w:pPr>
      <w:rPr/>
      <w:start w:val="1"/>
      <w:suff w:val="tab"/>
    </w:lvl>
    <w:lvl w:ilvl="5">
      <w:isLgl w:val="false"/>
      <w:lvlJc w:val="left"/>
      <w:lvlText w:val="%6."/>
      <w:numFmt w:val="decimal"/>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decimal"/>
      <w:pPr>
        <w:pBdr/>
        <w:spacing/>
        <w:ind w:hanging="360" w:left="5760"/>
      </w:pPr>
      <w:rPr/>
      <w:start w:val="1"/>
      <w:suff w:val="tab"/>
    </w:lvl>
    <w:lvl w:ilvl="8">
      <w:isLgl w:val="false"/>
      <w:lvlJc w:val="left"/>
      <w:lvlText w:val="%9."/>
      <w:numFmt w:val="decimal"/>
      <w:pPr>
        <w:pBdr/>
        <w:spacing/>
        <w:ind w:hanging="360" w:left="6480"/>
      </w:pPr>
      <w:rPr/>
      <w:start w:val="1"/>
      <w:suff w:val="tab"/>
    </w:lvl>
  </w:abstractNum>
  <w:abstractNum w:abstractNumId="8">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
      <w:numFmt w:val="bullet"/>
      <w:pPr>
        <w:pBdr/>
        <w:spacing/>
        <w:ind w:hanging="360" w:left="1440"/>
      </w:pPr>
      <w:rPr>
        <w:rFonts w:ascii="Noto Sans Symbols" w:hAnsi="Noto Sans Symbols" w:eastAsia="Noto Sans Symbols" w:cs="Noto Sans Symbols"/>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4."/>
      <w:numFmt w:val="decimal"/>
      <w:pPr>
        <w:pBdr/>
        <w:spacing/>
        <w:ind w:hanging="360" w:left="2880"/>
      </w:pPr>
      <w:rPr/>
      <w:start w:val="1"/>
      <w:suff w:val="tab"/>
    </w:lvl>
    <w:lvl w:ilvl="4">
      <w:isLgl w:val="false"/>
      <w:lvlJc w:val="left"/>
      <w:lvlText w:val="%5."/>
      <w:numFmt w:val="decimal"/>
      <w:pPr>
        <w:pBdr/>
        <w:spacing/>
        <w:ind w:hanging="360" w:left="3600"/>
      </w:pPr>
      <w:rPr/>
      <w:start w:val="1"/>
      <w:suff w:val="tab"/>
    </w:lvl>
    <w:lvl w:ilvl="5">
      <w:isLgl w:val="false"/>
      <w:lvlJc w:val="left"/>
      <w:lvlText w:val="%6."/>
      <w:numFmt w:val="decimal"/>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decimal"/>
      <w:pPr>
        <w:pBdr/>
        <w:spacing/>
        <w:ind w:hanging="360" w:left="5760"/>
      </w:pPr>
      <w:rPr/>
      <w:start w:val="1"/>
      <w:suff w:val="tab"/>
    </w:lvl>
    <w:lvl w:ilvl="8">
      <w:isLgl w:val="false"/>
      <w:lvlJc w:val="left"/>
      <w:lvlText w:val="%9."/>
      <w:numFmt w:val="decimal"/>
      <w:pPr>
        <w:pBdr/>
        <w:spacing/>
        <w:ind w:hanging="360" w:left="6480"/>
      </w:pPr>
      <w:rPr/>
      <w:start w:val="1"/>
      <w:suff w:val="tab"/>
    </w:lvl>
  </w:abstractNum>
  <w:abstractNum w:abstractNumId="9">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10">
    <w:lvl w:ilvl="0">
      <w:isLgl w:val="false"/>
      <w:lvlJc w:val="left"/>
      <w:lvlText w:val="−"/>
      <w:numFmt w:val="bullet"/>
      <w:pPr>
        <w:pBdr/>
        <w:spacing/>
        <w:ind w:hanging="360" w:left="1440"/>
      </w:pPr>
      <w:rPr>
        <w:rFonts w:ascii="Noto Sans Symbols" w:hAnsi="Noto Sans Symbols" w:eastAsia="Noto Sans Symbols" w:cs="Noto Sans Symbols"/>
      </w:rPr>
      <w:start w:val="1"/>
      <w:suff w:val="tab"/>
    </w:lvl>
    <w:lvl w:ilvl="1">
      <w:isLgl w:val="false"/>
      <w:lvlJc w:val="left"/>
      <w:lvlText w:val="o"/>
      <w:numFmt w:val="bullet"/>
      <w:pPr>
        <w:pBdr/>
        <w:spacing/>
        <w:ind w:hanging="360" w:left="2160"/>
      </w:pPr>
      <w:rPr>
        <w:rFonts w:ascii="Courier New" w:hAnsi="Courier New" w:eastAsia="Courier New" w:cs="Courier New"/>
      </w:rPr>
      <w:start w:val="1"/>
      <w:suff w:val="tab"/>
    </w:lvl>
    <w:lvl w:ilvl="2">
      <w:isLgl w:val="false"/>
      <w:lvlJc w:val="left"/>
      <w:lvlText w:val="▪"/>
      <w:numFmt w:val="bullet"/>
      <w:pPr>
        <w:pBdr/>
        <w:spacing/>
        <w:ind w:hanging="360" w:left="2880"/>
      </w:pPr>
      <w:rPr>
        <w:rFonts w:ascii="Noto Sans Symbols" w:hAnsi="Noto Sans Symbols" w:eastAsia="Noto Sans Symbols" w:cs="Noto Sans Symbols"/>
      </w:rPr>
      <w:start w:val="1"/>
      <w:suff w:val="tab"/>
    </w:lvl>
    <w:lvl w:ilvl="3">
      <w:isLgl w:val="false"/>
      <w:lvlJc w:val="left"/>
      <w:lvlText w:val="●"/>
      <w:numFmt w:val="bullet"/>
      <w:pPr>
        <w:pBdr/>
        <w:spacing/>
        <w:ind w:hanging="360" w:left="3600"/>
      </w:pPr>
      <w:rPr>
        <w:rFonts w:ascii="Noto Sans Symbols" w:hAnsi="Noto Sans Symbols" w:eastAsia="Noto Sans Symbols" w:cs="Noto Sans Symbols"/>
      </w:rPr>
      <w:start w:val="1"/>
      <w:suff w:val="tab"/>
    </w:lvl>
    <w:lvl w:ilvl="4">
      <w:isLgl w:val="false"/>
      <w:lvlJc w:val="left"/>
      <w:lvlText w:val="o"/>
      <w:numFmt w:val="bullet"/>
      <w:pPr>
        <w:pBdr/>
        <w:spacing/>
        <w:ind w:hanging="360" w:left="4320"/>
      </w:pPr>
      <w:rPr>
        <w:rFonts w:ascii="Courier New" w:hAnsi="Courier New" w:eastAsia="Courier New" w:cs="Courier New"/>
      </w:rPr>
      <w:start w:val="1"/>
      <w:suff w:val="tab"/>
    </w:lvl>
    <w:lvl w:ilvl="5">
      <w:isLgl w:val="false"/>
      <w:lvlJc w:val="left"/>
      <w:lvlText w:val="▪"/>
      <w:numFmt w:val="bullet"/>
      <w:pPr>
        <w:pBdr/>
        <w:spacing/>
        <w:ind w:hanging="360" w:left="5040"/>
      </w:pPr>
      <w:rPr>
        <w:rFonts w:ascii="Noto Sans Symbols" w:hAnsi="Noto Sans Symbols" w:eastAsia="Noto Sans Symbols" w:cs="Noto Sans Symbols"/>
      </w:rPr>
      <w:start w:val="1"/>
      <w:suff w:val="tab"/>
    </w:lvl>
    <w:lvl w:ilvl="6">
      <w:isLgl w:val="false"/>
      <w:lvlJc w:val="left"/>
      <w:lvlText w:val="●"/>
      <w:numFmt w:val="bullet"/>
      <w:pPr>
        <w:pBdr/>
        <w:spacing/>
        <w:ind w:hanging="360" w:left="5760"/>
      </w:pPr>
      <w:rPr>
        <w:rFonts w:ascii="Noto Sans Symbols" w:hAnsi="Noto Sans Symbols" w:eastAsia="Noto Sans Symbols" w:cs="Noto Sans Symbols"/>
      </w:rPr>
      <w:start w:val="1"/>
      <w:suff w:val="tab"/>
    </w:lvl>
    <w:lvl w:ilvl="7">
      <w:isLgl w:val="false"/>
      <w:lvlJc w:val="left"/>
      <w:lvlText w:val="o"/>
      <w:numFmt w:val="bullet"/>
      <w:pPr>
        <w:pBdr/>
        <w:spacing/>
        <w:ind w:hanging="360" w:left="6480"/>
      </w:pPr>
      <w:rPr>
        <w:rFonts w:ascii="Courier New" w:hAnsi="Courier New" w:eastAsia="Courier New" w:cs="Courier New"/>
      </w:rPr>
      <w:start w:val="1"/>
      <w:suff w:val="tab"/>
    </w:lvl>
    <w:lvl w:ilvl="8">
      <w:isLgl w:val="false"/>
      <w:lvlJc w:val="left"/>
      <w:lvlText w:val="▪"/>
      <w:numFmt w:val="bullet"/>
      <w:pPr>
        <w:pBdr/>
        <w:spacing/>
        <w:ind w:hanging="360" w:left="7200"/>
      </w:pPr>
      <w:rPr>
        <w:rFonts w:ascii="Noto Sans Symbols" w:hAnsi="Noto Sans Symbols" w:eastAsia="Noto Sans Symbols" w:cs="Noto Sans Symbols"/>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72"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Table Grid"/>
    <w:basedOn w:val="872"/>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Table Grid Light"/>
    <w:basedOn w:val="87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Plain Table 1"/>
    <w:basedOn w:val="87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Plain Table 2"/>
    <w:basedOn w:val="872"/>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Plain Table 3"/>
    <w:basedOn w:val="87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Plain Table 4"/>
    <w:basedOn w:val="87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Plain Table 5"/>
    <w:basedOn w:val="87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Grid Table 1 Light"/>
    <w:basedOn w:val="87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Grid Table 1 Light - Accent 1"/>
    <w:basedOn w:val="87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Grid Table 1 Light - Accent 2"/>
    <w:basedOn w:val="87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Grid Table 1 Light - Accent 3"/>
    <w:basedOn w:val="87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Grid Table 1 Light - Accent 4"/>
    <w:basedOn w:val="87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Grid Table 1 Light - Accent 5"/>
    <w:basedOn w:val="87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Grid Table 1 Light - Accent 6"/>
    <w:basedOn w:val="87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Grid Table 2"/>
    <w:basedOn w:val="87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Grid Table 2 - Accent 1"/>
    <w:basedOn w:val="87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Grid Table 2 - Accent 2"/>
    <w:basedOn w:val="87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Grid Table 2 - Accent 3"/>
    <w:basedOn w:val="87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Grid Table 2 - Accent 4"/>
    <w:basedOn w:val="87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Grid Table 2 - Accent 5"/>
    <w:basedOn w:val="87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Grid Table 2 - Accent 6"/>
    <w:basedOn w:val="87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Grid Table 3"/>
    <w:basedOn w:val="87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Grid Table 3 - Accent 1"/>
    <w:basedOn w:val="87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Grid Table 3 - Accent 2"/>
    <w:basedOn w:val="87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Grid Table 3 - Accent 3"/>
    <w:basedOn w:val="87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Grid Table 3 - Accent 4"/>
    <w:basedOn w:val="87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Grid Table 3 - Accent 5"/>
    <w:basedOn w:val="87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Grid Table 3 - Accent 6"/>
    <w:basedOn w:val="87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Grid Table 4"/>
    <w:basedOn w:val="87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Grid Table 4 - Accent 1"/>
    <w:basedOn w:val="87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Grid Table 4 - Accent 2"/>
    <w:basedOn w:val="87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Grid Table 4 - Accent 3"/>
    <w:basedOn w:val="87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Grid Table 4 - Accent 4"/>
    <w:basedOn w:val="87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Grid Table 4 - Accent 5"/>
    <w:basedOn w:val="87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Grid Table 4 - Accent 6"/>
    <w:basedOn w:val="87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Grid Table 5 Dark"/>
    <w:basedOn w:val="8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Grid Table 5 Dark- Accent 1"/>
    <w:basedOn w:val="8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Grid Table 5 Dark - Accent 2"/>
    <w:basedOn w:val="8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Grid Table 5 Dark - Accent 3"/>
    <w:basedOn w:val="8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Grid Table 5 Dark- Accent 4"/>
    <w:basedOn w:val="8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Grid Table 5 Dark - Accent 5"/>
    <w:basedOn w:val="8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Grid Table 5 Dark - Accent 6"/>
    <w:basedOn w:val="8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Grid Table 6 Colorful"/>
    <w:basedOn w:val="87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6">
    <w:name w:val="Grid Table 6 Colorful - Accent 1"/>
    <w:basedOn w:val="87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17">
    <w:name w:val="Grid Table 6 Colorful - Accent 2"/>
    <w:basedOn w:val="87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18">
    <w:name w:val="Grid Table 6 Colorful - Accent 3"/>
    <w:basedOn w:val="87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19">
    <w:name w:val="Grid Table 6 Colorful - Accent 4"/>
    <w:basedOn w:val="87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20">
    <w:name w:val="Grid Table 6 Colorful - Accent 5"/>
    <w:basedOn w:val="87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21">
    <w:name w:val="Grid Table 6 Colorful - Accent 6"/>
    <w:basedOn w:val="87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22">
    <w:name w:val="Grid Table 7 Colorful"/>
    <w:basedOn w:val="87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Grid Table 7 Colorful - Accent 1"/>
    <w:basedOn w:val="87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Grid Table 7 Colorful - Accent 2"/>
    <w:basedOn w:val="87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Grid Table 7 Colorful - Accent 3"/>
    <w:basedOn w:val="87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d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Grid Table 7 Colorful - Accent 4"/>
    <w:basedOn w:val="87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Grid Table 7 Colorful - Accent 5"/>
    <w:basedOn w:val="87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Grid Table 7 Colorful - Accent 6"/>
    <w:basedOn w:val="87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List Table 1 Light"/>
    <w:basedOn w:val="8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List Table 1 Light - Accent 1"/>
    <w:basedOn w:val="8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List Table 1 Light - Accent 2"/>
    <w:basedOn w:val="8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List Table 1 Light - Accent 3"/>
    <w:basedOn w:val="8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List Table 1 Light - Accent 4"/>
    <w:basedOn w:val="8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List Table 1 Light - Accent 5"/>
    <w:basedOn w:val="8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List Table 1 Light - Accent 6"/>
    <w:basedOn w:val="8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List Table 2"/>
    <w:basedOn w:val="87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List Table 2 - Accent 1"/>
    <w:basedOn w:val="87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List Table 2 - Accent 2"/>
    <w:basedOn w:val="87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List Table 2 - Accent 3"/>
    <w:basedOn w:val="87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List Table 2 - Accent 4"/>
    <w:basedOn w:val="87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List Table 2 - Accent 5"/>
    <w:basedOn w:val="87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List Table 2 - Accent 6"/>
    <w:basedOn w:val="87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List Table 3"/>
    <w:basedOn w:val="87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name w:val="List Table 3 - Accent 1"/>
    <w:basedOn w:val="87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List Table 3 - Accent 2"/>
    <w:basedOn w:val="87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List Table 3 - Accent 3"/>
    <w:basedOn w:val="87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List Table 3 - Accent 4"/>
    <w:basedOn w:val="87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List Table 3 - Accent 5"/>
    <w:basedOn w:val="87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List Table 3 - Accent 6"/>
    <w:basedOn w:val="87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name w:val="List Table 4"/>
    <w:basedOn w:val="87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name w:val="List Table 4 - Accent 1"/>
    <w:basedOn w:val="87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List Table 4 - Accent 2"/>
    <w:basedOn w:val="87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List Table 4 - Accent 3"/>
    <w:basedOn w:val="87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name w:val="List Table 4 - Accent 4"/>
    <w:basedOn w:val="87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name w:val="List Table 4 - Accent 5"/>
    <w:basedOn w:val="87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name w:val="List Table 4 - Accent 6"/>
    <w:basedOn w:val="87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name w:val="List Table 5 Dark"/>
    <w:basedOn w:val="87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58">
    <w:name w:val="List Table 5 Dark - Accent 1"/>
    <w:basedOn w:val="87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59">
    <w:name w:val="List Table 5 Dark - Accent 2"/>
    <w:basedOn w:val="87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0">
    <w:name w:val="List Table 5 Dark - Accent 3"/>
    <w:basedOn w:val="87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1">
    <w:name w:val="List Table 5 Dark - Accent 4"/>
    <w:basedOn w:val="87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2">
    <w:name w:val="List Table 5 Dark - Accent 5"/>
    <w:basedOn w:val="87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3">
    <w:name w:val="List Table 5 Dark - Accent 6"/>
    <w:basedOn w:val="87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4">
    <w:name w:val="List Table 6 Colorful"/>
    <w:basedOn w:val="87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name w:val="List Table 6 Colorful - Accent 1"/>
    <w:basedOn w:val="87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name w:val="List Table 6 Colorful - Accent 2"/>
    <w:basedOn w:val="87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name w:val="List Table 6 Colorful - Accent 3"/>
    <w:basedOn w:val="87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name w:val="List Table 6 Colorful - Accent 4"/>
    <w:basedOn w:val="87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name w:val="List Table 6 Colorful - Accent 5"/>
    <w:basedOn w:val="87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name w:val="List Table 6 Colorful - Accent 6"/>
    <w:basedOn w:val="87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name w:val="List Table 7 Colorful"/>
    <w:basedOn w:val="87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72">
    <w:name w:val="List Table 7 Colorful - Accent 1"/>
    <w:basedOn w:val="87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973">
    <w:name w:val="List Table 7 Colorful - Accent 2"/>
    <w:basedOn w:val="87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974">
    <w:name w:val="List Table 7 Colorful - Accent 3"/>
    <w:basedOn w:val="87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a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975">
    <w:name w:val="List Table 7 Colorful - Accent 4"/>
    <w:basedOn w:val="87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976">
    <w:name w:val="List Table 7 Colorful - Accent 5"/>
    <w:basedOn w:val="87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4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977">
    <w:name w:val="List Table 7 Colorful - Accent 6"/>
    <w:basedOn w:val="87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9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978">
    <w:name w:val="Lined - Accent"/>
    <w:basedOn w:val="8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name w:val="Lined - Accent 1"/>
    <w:basedOn w:val="8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name w:val="Lined - Accent 2"/>
    <w:basedOn w:val="8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name w:val="Lined - Accent 3"/>
    <w:basedOn w:val="8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name w:val="Lined - Accent 4"/>
    <w:basedOn w:val="8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name w:val="Lined - Accent 5"/>
    <w:basedOn w:val="8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name w:val="Lined - Accent 6"/>
    <w:basedOn w:val="8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name w:val="Bordered &amp; Lined - Accent"/>
    <w:basedOn w:val="87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name w:val="Bordered &amp; Lined - Accent 1"/>
    <w:basedOn w:val="87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name w:val="Bordered &amp; Lined - Accent 2"/>
    <w:basedOn w:val="87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name w:val="Bordered &amp; Lined - Accent 3"/>
    <w:basedOn w:val="87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name w:val="Bordered &amp; Lined - Accent 4"/>
    <w:basedOn w:val="87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name w:val="Bordered &amp; Lined - Accent 5"/>
    <w:basedOn w:val="87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name w:val="Bordered &amp; Lined - Accent 6"/>
    <w:basedOn w:val="87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name w:val="Bordered"/>
    <w:basedOn w:val="87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name w:val="Bordered - Accent 1"/>
    <w:basedOn w:val="87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name w:val="Bordered - Accent 2"/>
    <w:basedOn w:val="87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name w:val="Bordered - Accent 3"/>
    <w:basedOn w:val="87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name w:val="Bordered - Accent 4"/>
    <w:basedOn w:val="87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name w:val="Bordered - Accent 5"/>
    <w:basedOn w:val="87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name w:val="Bordered - Accent 6"/>
    <w:basedOn w:val="87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9">
    <w:name w:val="Heading 7"/>
    <w:basedOn w:val="1054"/>
    <w:next w:val="1054"/>
    <w:link w:val="1010"/>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000">
    <w:name w:val="Heading 8"/>
    <w:basedOn w:val="1054"/>
    <w:next w:val="1054"/>
    <w:link w:val="1011"/>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001">
    <w:name w:val="Heading 9"/>
    <w:basedOn w:val="1054"/>
    <w:next w:val="1054"/>
    <w:link w:val="1012"/>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002" w:default="1">
    <w:name w:val="Default Paragraph Font"/>
    <w:uiPriority w:val="1"/>
    <w:semiHidden/>
    <w:unhideWhenUsed/>
    <w:pPr>
      <w:pBdr/>
      <w:spacing/>
      <w:ind/>
    </w:pPr>
  </w:style>
  <w:style w:type="numbering" w:styleId="1003" w:default="1">
    <w:name w:val="No List"/>
    <w:uiPriority w:val="99"/>
    <w:semiHidden/>
    <w:unhideWhenUsed/>
    <w:pPr>
      <w:pBdr/>
      <w:spacing/>
      <w:ind/>
    </w:pPr>
  </w:style>
  <w:style w:type="character" w:styleId="1004">
    <w:name w:val="Heading 1 Char"/>
    <w:basedOn w:val="1002"/>
    <w:link w:val="1055"/>
    <w:uiPriority w:val="9"/>
    <w:pPr>
      <w:pBdr/>
      <w:spacing/>
      <w:ind/>
    </w:pPr>
    <w:rPr>
      <w:rFonts w:ascii="Arial" w:hAnsi="Arial" w:eastAsia="Arial" w:cs="Arial"/>
      <w:color w:val="0f4761" w:themeColor="accent1" w:themeShade="BF"/>
      <w:sz w:val="40"/>
      <w:szCs w:val="40"/>
    </w:rPr>
  </w:style>
  <w:style w:type="character" w:styleId="1005">
    <w:name w:val="Heading 2 Char"/>
    <w:basedOn w:val="1002"/>
    <w:link w:val="1056"/>
    <w:uiPriority w:val="9"/>
    <w:pPr>
      <w:pBdr/>
      <w:spacing/>
      <w:ind/>
    </w:pPr>
    <w:rPr>
      <w:rFonts w:ascii="Arial" w:hAnsi="Arial" w:eastAsia="Arial" w:cs="Arial"/>
      <w:color w:val="0f4761" w:themeColor="accent1" w:themeShade="BF"/>
      <w:sz w:val="32"/>
      <w:szCs w:val="32"/>
    </w:rPr>
  </w:style>
  <w:style w:type="character" w:styleId="1006">
    <w:name w:val="Heading 3 Char"/>
    <w:basedOn w:val="1002"/>
    <w:link w:val="1057"/>
    <w:uiPriority w:val="9"/>
    <w:pPr>
      <w:pBdr/>
      <w:spacing/>
      <w:ind/>
    </w:pPr>
    <w:rPr>
      <w:rFonts w:ascii="Arial" w:hAnsi="Arial" w:eastAsia="Arial" w:cs="Arial"/>
      <w:color w:val="0f4761" w:themeColor="accent1" w:themeShade="BF"/>
      <w:sz w:val="28"/>
      <w:szCs w:val="28"/>
    </w:rPr>
  </w:style>
  <w:style w:type="character" w:styleId="1007">
    <w:name w:val="Heading 4 Char"/>
    <w:basedOn w:val="1002"/>
    <w:link w:val="1058"/>
    <w:uiPriority w:val="9"/>
    <w:pPr>
      <w:pBdr/>
      <w:spacing/>
      <w:ind/>
    </w:pPr>
    <w:rPr>
      <w:rFonts w:ascii="Arial" w:hAnsi="Arial" w:eastAsia="Arial" w:cs="Arial"/>
      <w:i/>
      <w:iCs/>
      <w:color w:val="0f4761" w:themeColor="accent1" w:themeShade="BF"/>
    </w:rPr>
  </w:style>
  <w:style w:type="character" w:styleId="1008">
    <w:name w:val="Heading 5 Char"/>
    <w:basedOn w:val="1002"/>
    <w:link w:val="1059"/>
    <w:uiPriority w:val="9"/>
    <w:pPr>
      <w:pBdr/>
      <w:spacing/>
      <w:ind/>
    </w:pPr>
    <w:rPr>
      <w:rFonts w:ascii="Arial" w:hAnsi="Arial" w:eastAsia="Arial" w:cs="Arial"/>
      <w:color w:val="0f4761" w:themeColor="accent1" w:themeShade="BF"/>
    </w:rPr>
  </w:style>
  <w:style w:type="character" w:styleId="1009">
    <w:name w:val="Heading 6 Char"/>
    <w:basedOn w:val="1002"/>
    <w:link w:val="1060"/>
    <w:uiPriority w:val="9"/>
    <w:pPr>
      <w:pBdr/>
      <w:spacing/>
      <w:ind/>
    </w:pPr>
    <w:rPr>
      <w:rFonts w:ascii="Arial" w:hAnsi="Arial" w:eastAsia="Arial" w:cs="Arial"/>
      <w:i/>
      <w:iCs/>
      <w:color w:val="595959" w:themeColor="text1" w:themeTint="A6"/>
    </w:rPr>
  </w:style>
  <w:style w:type="character" w:styleId="1010">
    <w:name w:val="Heading 7 Char"/>
    <w:basedOn w:val="1002"/>
    <w:link w:val="999"/>
    <w:uiPriority w:val="9"/>
    <w:pPr>
      <w:pBdr/>
      <w:spacing/>
      <w:ind/>
    </w:pPr>
    <w:rPr>
      <w:rFonts w:ascii="Arial" w:hAnsi="Arial" w:eastAsia="Arial" w:cs="Arial"/>
      <w:color w:val="595959" w:themeColor="text1" w:themeTint="A6"/>
    </w:rPr>
  </w:style>
  <w:style w:type="character" w:styleId="1011">
    <w:name w:val="Heading 8 Char"/>
    <w:basedOn w:val="1002"/>
    <w:link w:val="1000"/>
    <w:uiPriority w:val="9"/>
    <w:pPr>
      <w:pBdr/>
      <w:spacing/>
      <w:ind/>
    </w:pPr>
    <w:rPr>
      <w:rFonts w:ascii="Arial" w:hAnsi="Arial" w:eastAsia="Arial" w:cs="Arial"/>
      <w:i/>
      <w:iCs/>
      <w:color w:val="272727" w:themeColor="text1" w:themeTint="D8"/>
    </w:rPr>
  </w:style>
  <w:style w:type="character" w:styleId="1012">
    <w:name w:val="Heading 9 Char"/>
    <w:basedOn w:val="1002"/>
    <w:link w:val="1001"/>
    <w:uiPriority w:val="9"/>
    <w:pPr>
      <w:pBdr/>
      <w:spacing/>
      <w:ind/>
    </w:pPr>
    <w:rPr>
      <w:rFonts w:ascii="Arial" w:hAnsi="Arial" w:eastAsia="Arial" w:cs="Arial"/>
      <w:i/>
      <w:iCs/>
      <w:color w:val="272727" w:themeColor="text1" w:themeTint="D8"/>
    </w:rPr>
  </w:style>
  <w:style w:type="character" w:styleId="1013">
    <w:name w:val="Title Char"/>
    <w:basedOn w:val="1002"/>
    <w:link w:val="1061"/>
    <w:uiPriority w:val="10"/>
    <w:pPr>
      <w:pBdr/>
      <w:spacing/>
      <w:ind/>
    </w:pPr>
    <w:rPr>
      <w:rFonts w:ascii="Arial" w:hAnsi="Arial" w:eastAsia="Arial" w:cs="Arial"/>
      <w:spacing w:val="-10"/>
      <w:sz w:val="56"/>
      <w:szCs w:val="56"/>
    </w:rPr>
  </w:style>
  <w:style w:type="character" w:styleId="1014">
    <w:name w:val="Subtitle Char"/>
    <w:basedOn w:val="1002"/>
    <w:link w:val="1062"/>
    <w:uiPriority w:val="11"/>
    <w:pPr>
      <w:pBdr/>
      <w:spacing/>
      <w:ind/>
    </w:pPr>
    <w:rPr>
      <w:color w:val="595959" w:themeColor="text1" w:themeTint="A6"/>
      <w:spacing w:val="15"/>
      <w:sz w:val="28"/>
      <w:szCs w:val="28"/>
    </w:rPr>
  </w:style>
  <w:style w:type="paragraph" w:styleId="1015">
    <w:name w:val="Quote"/>
    <w:basedOn w:val="1054"/>
    <w:next w:val="1054"/>
    <w:link w:val="1016"/>
    <w:uiPriority w:val="29"/>
    <w:qFormat/>
    <w:pPr>
      <w:pBdr/>
      <w:spacing w:before="160"/>
      <w:ind/>
      <w:jc w:val="center"/>
    </w:pPr>
    <w:rPr>
      <w:i/>
      <w:iCs/>
      <w:color w:val="404040" w:themeColor="text1" w:themeTint="BF"/>
    </w:rPr>
  </w:style>
  <w:style w:type="character" w:styleId="1016">
    <w:name w:val="Quote Char"/>
    <w:basedOn w:val="1002"/>
    <w:link w:val="1015"/>
    <w:uiPriority w:val="29"/>
    <w:pPr>
      <w:pBdr/>
      <w:spacing/>
      <w:ind/>
    </w:pPr>
    <w:rPr>
      <w:i/>
      <w:iCs/>
      <w:color w:val="404040" w:themeColor="text1" w:themeTint="BF"/>
    </w:rPr>
  </w:style>
  <w:style w:type="paragraph" w:styleId="1017">
    <w:name w:val="List Paragraph"/>
    <w:basedOn w:val="1054"/>
    <w:uiPriority w:val="34"/>
    <w:qFormat/>
    <w:pPr>
      <w:pBdr/>
      <w:spacing/>
      <w:ind w:left="720"/>
      <w:contextualSpacing w:val="true"/>
    </w:pPr>
  </w:style>
  <w:style w:type="character" w:styleId="1018">
    <w:name w:val="Intense Emphasis"/>
    <w:basedOn w:val="1002"/>
    <w:uiPriority w:val="21"/>
    <w:qFormat/>
    <w:pPr>
      <w:pBdr/>
      <w:spacing/>
      <w:ind/>
    </w:pPr>
    <w:rPr>
      <w:i/>
      <w:iCs/>
      <w:color w:val="0f4761" w:themeColor="accent1" w:themeShade="BF"/>
    </w:rPr>
  </w:style>
  <w:style w:type="paragraph" w:styleId="1019">
    <w:name w:val="Intense Quote"/>
    <w:basedOn w:val="1054"/>
    <w:next w:val="1054"/>
    <w:link w:val="1020"/>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020">
    <w:name w:val="Intense Quote Char"/>
    <w:basedOn w:val="1002"/>
    <w:link w:val="1019"/>
    <w:uiPriority w:val="30"/>
    <w:pPr>
      <w:pBdr/>
      <w:spacing/>
      <w:ind/>
    </w:pPr>
    <w:rPr>
      <w:i/>
      <w:iCs/>
      <w:color w:val="0f4761" w:themeColor="accent1" w:themeShade="BF"/>
    </w:rPr>
  </w:style>
  <w:style w:type="character" w:styleId="1021">
    <w:name w:val="Intense Reference"/>
    <w:basedOn w:val="1002"/>
    <w:uiPriority w:val="32"/>
    <w:qFormat/>
    <w:pPr>
      <w:pBdr/>
      <w:spacing/>
      <w:ind/>
    </w:pPr>
    <w:rPr>
      <w:b/>
      <w:bCs/>
      <w:smallCaps/>
      <w:color w:val="0f4761" w:themeColor="accent1" w:themeShade="BF"/>
      <w:spacing w:val="5"/>
    </w:rPr>
  </w:style>
  <w:style w:type="paragraph" w:styleId="1022">
    <w:name w:val="No Spacing"/>
    <w:basedOn w:val="1054"/>
    <w:uiPriority w:val="1"/>
    <w:qFormat/>
    <w:pPr>
      <w:pBdr/>
      <w:spacing w:after="0" w:line="240" w:lineRule="auto"/>
      <w:ind/>
    </w:pPr>
  </w:style>
  <w:style w:type="character" w:styleId="1023">
    <w:name w:val="Subtle Emphasis"/>
    <w:basedOn w:val="1002"/>
    <w:uiPriority w:val="19"/>
    <w:qFormat/>
    <w:pPr>
      <w:pBdr/>
      <w:spacing/>
      <w:ind/>
    </w:pPr>
    <w:rPr>
      <w:i/>
      <w:iCs/>
      <w:color w:val="404040" w:themeColor="text1" w:themeTint="BF"/>
    </w:rPr>
  </w:style>
  <w:style w:type="character" w:styleId="1024">
    <w:name w:val="Emphasis"/>
    <w:basedOn w:val="1002"/>
    <w:uiPriority w:val="20"/>
    <w:qFormat/>
    <w:pPr>
      <w:pBdr/>
      <w:spacing/>
      <w:ind/>
    </w:pPr>
    <w:rPr>
      <w:i/>
      <w:iCs/>
    </w:rPr>
  </w:style>
  <w:style w:type="character" w:styleId="1025">
    <w:name w:val="Strong"/>
    <w:basedOn w:val="1002"/>
    <w:uiPriority w:val="22"/>
    <w:qFormat/>
    <w:pPr>
      <w:pBdr/>
      <w:spacing/>
      <w:ind/>
    </w:pPr>
    <w:rPr>
      <w:b/>
      <w:bCs/>
    </w:rPr>
  </w:style>
  <w:style w:type="character" w:styleId="1026">
    <w:name w:val="Subtle Reference"/>
    <w:basedOn w:val="1002"/>
    <w:uiPriority w:val="31"/>
    <w:qFormat/>
    <w:pPr>
      <w:pBdr/>
      <w:spacing/>
      <w:ind/>
    </w:pPr>
    <w:rPr>
      <w:smallCaps/>
      <w:color w:val="5a5a5a" w:themeColor="text1" w:themeTint="A5"/>
    </w:rPr>
  </w:style>
  <w:style w:type="character" w:styleId="1027">
    <w:name w:val="Book Title"/>
    <w:basedOn w:val="1002"/>
    <w:uiPriority w:val="33"/>
    <w:qFormat/>
    <w:pPr>
      <w:pBdr/>
      <w:spacing/>
      <w:ind/>
    </w:pPr>
    <w:rPr>
      <w:b/>
      <w:bCs/>
      <w:i/>
      <w:iCs/>
      <w:spacing w:val="5"/>
    </w:rPr>
  </w:style>
  <w:style w:type="paragraph" w:styleId="1028">
    <w:name w:val="Header"/>
    <w:basedOn w:val="1054"/>
    <w:link w:val="1029"/>
    <w:uiPriority w:val="99"/>
    <w:unhideWhenUsed/>
    <w:pPr>
      <w:pBdr/>
      <w:tabs>
        <w:tab w:val="center" w:leader="none" w:pos="4844"/>
        <w:tab w:val="right" w:leader="none" w:pos="9689"/>
      </w:tabs>
      <w:spacing w:after="0" w:line="240" w:lineRule="auto"/>
      <w:ind/>
    </w:pPr>
  </w:style>
  <w:style w:type="character" w:styleId="1029">
    <w:name w:val="Header Char"/>
    <w:basedOn w:val="1002"/>
    <w:link w:val="1028"/>
    <w:uiPriority w:val="99"/>
    <w:pPr>
      <w:pBdr/>
      <w:spacing/>
      <w:ind/>
    </w:pPr>
  </w:style>
  <w:style w:type="paragraph" w:styleId="1030">
    <w:name w:val="Footer"/>
    <w:basedOn w:val="1054"/>
    <w:link w:val="1031"/>
    <w:uiPriority w:val="99"/>
    <w:unhideWhenUsed/>
    <w:pPr>
      <w:pBdr/>
      <w:tabs>
        <w:tab w:val="center" w:leader="none" w:pos="4844"/>
        <w:tab w:val="right" w:leader="none" w:pos="9689"/>
      </w:tabs>
      <w:spacing w:after="0" w:line="240" w:lineRule="auto"/>
      <w:ind/>
    </w:pPr>
  </w:style>
  <w:style w:type="character" w:styleId="1031">
    <w:name w:val="Footer Char"/>
    <w:basedOn w:val="1002"/>
    <w:link w:val="1030"/>
    <w:uiPriority w:val="99"/>
    <w:pPr>
      <w:pBdr/>
      <w:spacing/>
      <w:ind/>
    </w:pPr>
  </w:style>
  <w:style w:type="paragraph" w:styleId="1032">
    <w:name w:val="Caption"/>
    <w:basedOn w:val="1054"/>
    <w:next w:val="1054"/>
    <w:uiPriority w:val="35"/>
    <w:unhideWhenUsed/>
    <w:qFormat/>
    <w:pPr>
      <w:pBdr/>
      <w:spacing w:after="200" w:line="240" w:lineRule="auto"/>
      <w:ind/>
    </w:pPr>
    <w:rPr>
      <w:i/>
      <w:iCs/>
      <w:color w:val="0e2841" w:themeColor="text2"/>
      <w:sz w:val="18"/>
      <w:szCs w:val="18"/>
    </w:rPr>
  </w:style>
  <w:style w:type="paragraph" w:styleId="1033">
    <w:name w:val="footnote text"/>
    <w:basedOn w:val="1054"/>
    <w:link w:val="1034"/>
    <w:uiPriority w:val="99"/>
    <w:semiHidden/>
    <w:unhideWhenUsed/>
    <w:pPr>
      <w:pBdr/>
      <w:spacing w:after="0" w:line="240" w:lineRule="auto"/>
      <w:ind/>
    </w:pPr>
    <w:rPr>
      <w:sz w:val="20"/>
      <w:szCs w:val="20"/>
    </w:rPr>
  </w:style>
  <w:style w:type="character" w:styleId="1034">
    <w:name w:val="Footnote Text Char"/>
    <w:basedOn w:val="1002"/>
    <w:link w:val="1033"/>
    <w:uiPriority w:val="99"/>
    <w:semiHidden/>
    <w:pPr>
      <w:pBdr/>
      <w:spacing/>
      <w:ind/>
    </w:pPr>
    <w:rPr>
      <w:sz w:val="20"/>
      <w:szCs w:val="20"/>
    </w:rPr>
  </w:style>
  <w:style w:type="character" w:styleId="1035">
    <w:name w:val="footnote reference"/>
    <w:basedOn w:val="1002"/>
    <w:uiPriority w:val="99"/>
    <w:semiHidden/>
    <w:unhideWhenUsed/>
    <w:pPr>
      <w:pBdr/>
      <w:spacing/>
      <w:ind/>
    </w:pPr>
    <w:rPr>
      <w:vertAlign w:val="superscript"/>
    </w:rPr>
  </w:style>
  <w:style w:type="paragraph" w:styleId="1036">
    <w:name w:val="endnote text"/>
    <w:basedOn w:val="1054"/>
    <w:link w:val="1037"/>
    <w:uiPriority w:val="99"/>
    <w:semiHidden/>
    <w:unhideWhenUsed/>
    <w:pPr>
      <w:pBdr/>
      <w:spacing w:after="0" w:line="240" w:lineRule="auto"/>
      <w:ind/>
    </w:pPr>
    <w:rPr>
      <w:sz w:val="20"/>
      <w:szCs w:val="20"/>
    </w:rPr>
  </w:style>
  <w:style w:type="character" w:styleId="1037">
    <w:name w:val="Endnote Text Char"/>
    <w:basedOn w:val="1002"/>
    <w:link w:val="1036"/>
    <w:uiPriority w:val="99"/>
    <w:semiHidden/>
    <w:pPr>
      <w:pBdr/>
      <w:spacing/>
      <w:ind/>
    </w:pPr>
    <w:rPr>
      <w:sz w:val="20"/>
      <w:szCs w:val="20"/>
    </w:rPr>
  </w:style>
  <w:style w:type="character" w:styleId="1038">
    <w:name w:val="endnote reference"/>
    <w:basedOn w:val="1002"/>
    <w:uiPriority w:val="99"/>
    <w:semiHidden/>
    <w:unhideWhenUsed/>
    <w:pPr>
      <w:pBdr/>
      <w:spacing/>
      <w:ind/>
    </w:pPr>
    <w:rPr>
      <w:vertAlign w:val="superscript"/>
    </w:rPr>
  </w:style>
  <w:style w:type="character" w:styleId="1039">
    <w:name w:val="Hyperlink"/>
    <w:basedOn w:val="1002"/>
    <w:uiPriority w:val="99"/>
    <w:unhideWhenUsed/>
    <w:pPr>
      <w:pBdr/>
      <w:spacing/>
      <w:ind/>
    </w:pPr>
    <w:rPr>
      <w:color w:val="0563c1" w:themeColor="hyperlink"/>
      <w:u w:val="single"/>
    </w:rPr>
  </w:style>
  <w:style w:type="character" w:styleId="1040">
    <w:name w:val="FollowedHyperlink"/>
    <w:basedOn w:val="1002"/>
    <w:uiPriority w:val="99"/>
    <w:semiHidden/>
    <w:unhideWhenUsed/>
    <w:pPr>
      <w:pBdr/>
      <w:spacing/>
      <w:ind/>
    </w:pPr>
    <w:rPr>
      <w:color w:val="954f72" w:themeColor="followedHyperlink"/>
      <w:u w:val="single"/>
    </w:rPr>
  </w:style>
  <w:style w:type="paragraph" w:styleId="1041">
    <w:name w:val="toc 1"/>
    <w:basedOn w:val="1054"/>
    <w:next w:val="1054"/>
    <w:uiPriority w:val="39"/>
    <w:unhideWhenUsed/>
    <w:pPr>
      <w:pBdr/>
      <w:spacing w:after="100"/>
      <w:ind/>
    </w:pPr>
  </w:style>
  <w:style w:type="paragraph" w:styleId="1042">
    <w:name w:val="toc 2"/>
    <w:basedOn w:val="1054"/>
    <w:next w:val="1054"/>
    <w:uiPriority w:val="39"/>
    <w:unhideWhenUsed/>
    <w:pPr>
      <w:pBdr/>
      <w:spacing w:after="100"/>
      <w:ind w:left="220"/>
    </w:pPr>
  </w:style>
  <w:style w:type="paragraph" w:styleId="1043">
    <w:name w:val="toc 3"/>
    <w:basedOn w:val="1054"/>
    <w:next w:val="1054"/>
    <w:uiPriority w:val="39"/>
    <w:unhideWhenUsed/>
    <w:pPr>
      <w:pBdr/>
      <w:spacing w:after="100"/>
      <w:ind w:left="440"/>
    </w:pPr>
  </w:style>
  <w:style w:type="paragraph" w:styleId="1044">
    <w:name w:val="toc 4"/>
    <w:basedOn w:val="1054"/>
    <w:next w:val="1054"/>
    <w:uiPriority w:val="39"/>
    <w:unhideWhenUsed/>
    <w:pPr>
      <w:pBdr/>
      <w:spacing w:after="100"/>
      <w:ind w:left="660"/>
    </w:pPr>
  </w:style>
  <w:style w:type="paragraph" w:styleId="1045">
    <w:name w:val="toc 5"/>
    <w:basedOn w:val="1054"/>
    <w:next w:val="1054"/>
    <w:uiPriority w:val="39"/>
    <w:unhideWhenUsed/>
    <w:pPr>
      <w:pBdr/>
      <w:spacing w:after="100"/>
      <w:ind w:left="880"/>
    </w:pPr>
  </w:style>
  <w:style w:type="paragraph" w:styleId="1046">
    <w:name w:val="toc 6"/>
    <w:basedOn w:val="1054"/>
    <w:next w:val="1054"/>
    <w:uiPriority w:val="39"/>
    <w:unhideWhenUsed/>
    <w:pPr>
      <w:pBdr/>
      <w:spacing w:after="100"/>
      <w:ind w:left="1100"/>
    </w:pPr>
  </w:style>
  <w:style w:type="paragraph" w:styleId="1047">
    <w:name w:val="toc 7"/>
    <w:basedOn w:val="1054"/>
    <w:next w:val="1054"/>
    <w:uiPriority w:val="39"/>
    <w:unhideWhenUsed/>
    <w:pPr>
      <w:pBdr/>
      <w:spacing w:after="100"/>
      <w:ind w:left="1320"/>
    </w:pPr>
  </w:style>
  <w:style w:type="paragraph" w:styleId="1048">
    <w:name w:val="toc 8"/>
    <w:basedOn w:val="1054"/>
    <w:next w:val="1054"/>
    <w:uiPriority w:val="39"/>
    <w:unhideWhenUsed/>
    <w:pPr>
      <w:pBdr/>
      <w:spacing w:after="100"/>
      <w:ind w:left="1540"/>
    </w:pPr>
  </w:style>
  <w:style w:type="paragraph" w:styleId="1049">
    <w:name w:val="toc 9"/>
    <w:basedOn w:val="1054"/>
    <w:next w:val="1054"/>
    <w:uiPriority w:val="39"/>
    <w:unhideWhenUsed/>
    <w:pPr>
      <w:pBdr/>
      <w:spacing w:after="100"/>
      <w:ind w:left="1760"/>
    </w:pPr>
  </w:style>
  <w:style w:type="character" w:styleId="1050">
    <w:name w:val="Placeholder Text"/>
    <w:basedOn w:val="1002"/>
    <w:uiPriority w:val="99"/>
    <w:semiHidden/>
    <w:pPr>
      <w:pBdr/>
      <w:spacing/>
      <w:ind/>
    </w:pPr>
    <w:rPr>
      <w:color w:val="666666"/>
    </w:rPr>
  </w:style>
  <w:style w:type="paragraph" w:styleId="1051">
    <w:name w:val="TOC Heading"/>
    <w:uiPriority w:val="39"/>
    <w:unhideWhenUsed/>
    <w:pPr>
      <w:pBdr/>
      <w:spacing/>
      <w:ind/>
    </w:pPr>
  </w:style>
  <w:style w:type="paragraph" w:styleId="1052">
    <w:name w:val="table of figures"/>
    <w:basedOn w:val="1054"/>
    <w:next w:val="1054"/>
    <w:uiPriority w:val="99"/>
    <w:unhideWhenUsed/>
    <w:pPr>
      <w:pBdr/>
      <w:spacing w:after="0" w:afterAutospacing="0"/>
      <w:ind/>
    </w:pPr>
  </w:style>
  <w:style w:type="table" w:styleId="1053">
    <w:name w:val="TableNormal"/>
    <w:pPr>
      <w:pBdr/>
      <w:spacing/>
      <w:ind/>
    </w:pPr>
    <w:tblPr>
      <w:tblCellMar>
        <w:left w:w="100" w:type="dxa"/>
        <w:top w:w="100" w:type="dxa"/>
        <w:right w:w="100"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54" w:default="1">
    <w:name w:val="Normal"/>
    <w:pPr>
      <w:pBdr/>
      <w:spacing/>
      <w:ind/>
    </w:pPr>
  </w:style>
  <w:style w:type="paragraph" w:styleId="1055">
    <w:name w:val="Heading 1"/>
    <w:basedOn w:val="1054"/>
    <w:next w:val="1054"/>
    <w:pPr>
      <w:keepNext w:val="true"/>
      <w:keepLines w:val="true"/>
      <w:pBdr/>
      <w:spacing w:before="240"/>
      <w:ind/>
    </w:pPr>
    <w:rPr>
      <w:rFonts w:ascii="Cambria" w:hAnsi="Cambria" w:eastAsia="Cambria" w:cs="Cambria"/>
      <w:color w:val="366091"/>
      <w:sz w:val="32"/>
      <w:szCs w:val="32"/>
    </w:rPr>
  </w:style>
  <w:style w:type="paragraph" w:styleId="1056">
    <w:name w:val="Heading 2"/>
    <w:basedOn w:val="1054"/>
    <w:next w:val="1054"/>
    <w:pPr>
      <w:keepNext w:val="true"/>
      <w:keepLines w:val="true"/>
      <w:pBdr/>
      <w:spacing w:before="40"/>
      <w:ind/>
    </w:pPr>
    <w:rPr>
      <w:rFonts w:ascii="Cambria" w:hAnsi="Cambria" w:eastAsia="Cambria" w:cs="Cambria"/>
      <w:color w:val="366091"/>
      <w:sz w:val="26"/>
      <w:szCs w:val="26"/>
    </w:rPr>
  </w:style>
  <w:style w:type="paragraph" w:styleId="1057">
    <w:name w:val="Heading 3"/>
    <w:basedOn w:val="1054"/>
    <w:next w:val="1054"/>
    <w:pPr>
      <w:keepNext w:val="true"/>
      <w:keepLines w:val="true"/>
      <w:pBdr/>
      <w:spacing w:before="40"/>
      <w:ind/>
    </w:pPr>
    <w:rPr>
      <w:rFonts w:ascii="Cambria" w:hAnsi="Cambria" w:eastAsia="Cambria" w:cs="Cambria"/>
      <w:color w:val="243f61"/>
    </w:rPr>
  </w:style>
  <w:style w:type="paragraph" w:styleId="1058">
    <w:name w:val="Heading 4"/>
    <w:basedOn w:val="1054"/>
    <w:next w:val="1054"/>
    <w:pPr>
      <w:keepNext w:val="true"/>
      <w:pBdr/>
      <w:spacing/>
      <w:ind/>
    </w:pPr>
    <w:rPr>
      <w:rFonts w:ascii="Arial" w:hAnsi="Arial" w:eastAsia="Arial" w:cs="Arial"/>
      <w:b/>
      <w:bCs/>
      <w:i/>
      <w:iCs/>
      <w:sz w:val="22"/>
      <w:szCs w:val="22"/>
    </w:rPr>
  </w:style>
  <w:style w:type="paragraph" w:styleId="1059">
    <w:name w:val="Heading 5"/>
    <w:basedOn w:val="1054"/>
    <w:next w:val="1054"/>
    <w:pPr>
      <w:keepNext w:val="true"/>
      <w:keepLines w:val="true"/>
      <w:pageBreakBefore w:val="false"/>
      <w:pBdr/>
      <w:spacing w:after="40" w:before="220"/>
      <w:ind/>
    </w:pPr>
    <w:rPr>
      <w:b/>
      <w:bCs/>
      <w:sz w:val="22"/>
      <w:szCs w:val="22"/>
    </w:rPr>
  </w:style>
  <w:style w:type="paragraph" w:styleId="1060">
    <w:name w:val="Heading 6"/>
    <w:basedOn w:val="1054"/>
    <w:next w:val="1054"/>
    <w:pPr>
      <w:keepNext w:val="true"/>
      <w:keepLines w:val="true"/>
      <w:pageBreakBefore w:val="false"/>
      <w:pBdr/>
      <w:spacing w:after="40" w:before="200"/>
      <w:ind/>
    </w:pPr>
    <w:rPr>
      <w:b/>
      <w:bCs/>
      <w:sz w:val="20"/>
      <w:szCs w:val="20"/>
    </w:rPr>
  </w:style>
  <w:style w:type="paragraph" w:styleId="1061">
    <w:name w:val="Title"/>
    <w:basedOn w:val="1054"/>
    <w:next w:val="1054"/>
    <w:pPr>
      <w:keepNext w:val="true"/>
      <w:keepLines w:val="true"/>
      <w:pageBreakBefore w:val="false"/>
      <w:pBdr/>
      <w:spacing w:after="120" w:before="480"/>
      <w:ind/>
    </w:pPr>
    <w:rPr>
      <w:b/>
      <w:bCs/>
      <w:sz w:val="72"/>
      <w:szCs w:val="72"/>
    </w:rPr>
  </w:style>
  <w:style w:type="paragraph" w:styleId="1062">
    <w:name w:val="Subtitle"/>
    <w:basedOn w:val="1054"/>
    <w:next w:val="1054"/>
    <w:pPr>
      <w:keepNext w:val="true"/>
      <w:keepLines w:val="true"/>
      <w:pageBreakBefore w:val="false"/>
      <w:pBdr/>
      <w:spacing w:after="80" w:before="360"/>
      <w:ind/>
    </w:pPr>
    <w:rPr>
      <w:rFonts w:ascii="Georgia" w:hAnsi="Georgia" w:eastAsia="Georgia" w:cs="Georgia"/>
      <w:i/>
      <w:iCs/>
      <w:color w:val="666666"/>
      <w:sz w:val="48"/>
      <w:szCs w:val="48"/>
    </w:rPr>
  </w:style>
  <w:style w:type="table" w:styleId="1063">
    <w:name w:val="StGen0"/>
    <w:basedOn w:val="1053"/>
    <w:pPr>
      <w:pBdr/>
      <w:spacing/>
      <w:ind/>
    </w:pPr>
    <w:tblPr>
      <w:tblStyleRowBandSize w:val="1"/>
      <w:tblStyleColBandSize w:val="1"/>
      <w:tblCellMar>
        <w:left w:w="70" w:type="dxa"/>
        <w:top w:w="0" w:type="dxa"/>
        <w:right w:w="7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customXml" Target="../customXml/item1.xml" /><Relationship Id="rId16" Type="http://schemas.openxmlformats.org/officeDocument/2006/relationships/hyperlink" Target="mailto:hanna.niemtsova@expertisefrance.fr"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xml.rels><?xml version="1.0" encoding="UTF-8" standalone="yes"?><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IbyYFM4Hs0PN4oRQ04ImMIaH8g==">CgMxLjAyDmguZWRydTQ1bThlcGVhOAByITE1VkRLS3hZNnZqM01tVzdYaWkwbW1mOFhPOGY4VW11Zg==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ONLYOFFICE/9.2.1.8</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 Yurii KOVAL</cp:lastModifiedBy>
  <cp:revision>1</cp:revision>
  <dcterms:modified xsi:type="dcterms:W3CDTF">2026-04-23T14:18:07Z</dcterms:modified>
</cp:coreProperties>
</file>