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Додаток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Технічне завдання на закупівлю пального для забезпечення реалізації проєкту «Здоров’я та захист: мобільне реагування для стійких громад у Харківській області».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 Оголошення про відкриті торги та запрошення до участі у тендері на закупівлю пального для забезпечення реалізації проєкту «Здоров’я та захист: мобільне реагування для стійких громад у Харківській області» від 24 квітня 2026 р.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Референс №: </w:t>
      </w:r>
      <w:r w:rsidDel="00000000" w:rsidR="00000000" w:rsidRPr="00000000">
        <w:rPr>
          <w:b w:val="1"/>
          <w:bCs w:val="1"/>
          <w:rtl w:val="0"/>
        </w:rPr>
        <w:t xml:space="preserve">TENDER/MK/FUEL/GIZ/2026-04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м. Харків,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24 квітня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Загальна інформація про Замовника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ЄДРПОУ 44892289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61022, м. Харків, пр. Незалежності, 5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Дата оголошення: 24 квітня 2026 року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Референс №: TENDER/MK/FUEL/GIZ/2026-04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проводиться відповідно до Політики про порядок проведення закупівель Благодійної організації «Благодійний фонд «Місія Харків».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З метою забезпечення прозорості процедура закупівлі додатково публікується на платформі Громадський Простір (Prostir.ua).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Контекст та призначення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здійснюється для забезпечення операційної діяльності БО «БФ «Місія Харків» у межах проєкту «Здоров’я та захист: мобільне реагування для стійких громад у Харківській області», який реалізується в межах проєкту EMPOWER, що фінансується Федеральним міністерством економічного співробітництва та розвитку Німеччини (BMZ) спільно з Європейським Союзом та впроваджується GIZ Ukraine.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Проєкт передбачає виїзди мобільних медичних бригад та команд соціального захисту до віддалених населених пунктів Харківської області з метою надання первинної медичної допомоги, психосоціальної підтримки, юридичного консультування та кейс-менеджменту для мешканців, які постраждали внаслідок війни, а також проведення навчальних заходів для підвищення потенціалу місцевих фахівців у сфері охорони здоров’я, освіти та соціального захисту.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пального необхідна для: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регулярних виїздів мобільних медичних бригад;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регулярних виїздів соціально-психологічної команди;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забезпечення безперервної мобільності команди проєкту;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виконання операційних завдань у Валківській громаді Богодухівського району та Кегичівській громаді Берестинського району Харківської області;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забезпечення реалізації проєктних активностей у віддалених населених пунктах.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Пальне використовуватиметься для 3 транспортних засобів, з яких: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автомобіль дизельний;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автомобілі бензинові.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Предмет закупівлі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Пальне для транспортних засобів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Позиція 1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Найменування: бензин А-95 або еквівалент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Орієнтовна кількість: 4 642 л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Призначення: для 2 бензинових автомобілів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Орієнтовний строк використання: 7 місяців для кожного автомобіля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Позиція 2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Найменування: дизельне паливо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Орієнтовна кількість: 2 117 л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Призначення: для 1 дизельного автомобіля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Орієнтовний строк використання: 10 місяців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Загальний орієнтовний обсяг закупівлі: 6 759 л.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Вказані обсяги є орієнтовними та розраховані в межах погодженого бюджету станом на дату підготовки закупівлі. Фактичний обсяг може коригуватися відповідно до цінової пропозиції переможця та в межах затвердженого бюджету.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Загальні вимоги до предмета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Учасник повинен забезпечити: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можливість безготівкового отримання пального;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можливість відпуску пального у власній мережі АЗС, партнерській мережі або через інший робочий механізм;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фактичну доступність пального в Харківській області та на маршрутах, пов’язаних із реалізацією проєкту;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належну якість пального відповідно до вимог законодавства України;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належне документальне оформлення поставки / відпуску пального;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придатний для Замовника механізм використання пального протягом строку реалізації проєкту.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Технічні та функціональні вимоги</w:t>
      </w:r>
    </w:p>
    <w:p w:rsidR="00000000" w:rsidDel="00000000" w:rsidP="00000000" w:rsidRDefault="00000000" w:rsidRPr="00000000" w14:paraId="00000043">
      <w:pPr>
        <w:keepNext w:val="0"/>
        <w:keepLines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5.1. Види пального</w:t>
      </w:r>
    </w:p>
    <w:p w:rsidR="00000000" w:rsidDel="00000000" w:rsidP="00000000" w:rsidRDefault="00000000" w:rsidRPr="00000000" w14:paraId="00000044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Учасник повинен мати можливість забезпечити: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бензин А-95 або еквівалент, придатний для використання у відповідних транспортних засобах;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дизельне паливо, придатне для використання у відповідному транспортному засобі.</w:t>
      </w:r>
    </w:p>
    <w:p w:rsidR="00000000" w:rsidDel="00000000" w:rsidP="00000000" w:rsidRDefault="00000000" w:rsidRPr="00000000" w14:paraId="00000047">
      <w:pPr>
        <w:keepNext w:val="0"/>
        <w:keepLines w:val="0"/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5.2. Формат постачання / відпуску</w:t>
      </w:r>
    </w:p>
    <w:p w:rsidR="00000000" w:rsidDel="00000000" w:rsidP="00000000" w:rsidRDefault="00000000" w:rsidRPr="00000000" w14:paraId="0000004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Допускаються такі формати: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паливні картки;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талони;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електронні талони / електронні коди;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інший безготівковий механізм, що забезпечує фактичний відпуск пального.</w:t>
      </w:r>
    </w:p>
    <w:p w:rsidR="00000000" w:rsidDel="00000000" w:rsidP="00000000" w:rsidRDefault="00000000" w:rsidRPr="00000000" w14:paraId="0000004E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Учасник самостійно пропонує формат, який використовується у його системі постачання.</w:t>
      </w:r>
    </w:p>
    <w:p w:rsidR="00000000" w:rsidDel="00000000" w:rsidP="00000000" w:rsidRDefault="00000000" w:rsidRPr="00000000" w14:paraId="0000004F">
      <w:pPr>
        <w:keepNext w:val="0"/>
        <w:keepLines w:val="0"/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5.3. Покриття мережі</w:t>
      </w:r>
    </w:p>
    <w:p w:rsidR="00000000" w:rsidDel="00000000" w:rsidP="00000000" w:rsidRDefault="00000000" w:rsidRPr="00000000" w14:paraId="0000005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Учасник повинен забезпечити наявність АЗС або механізму фактичного доступу до АЗС у Харківській області.</w:t>
      </w:r>
    </w:p>
    <w:p w:rsidR="00000000" w:rsidDel="00000000" w:rsidP="00000000" w:rsidRDefault="00000000" w:rsidRPr="00000000" w14:paraId="0000005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Перевагою є: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наявність АЗС у Валківській громаді, Кегичівській громаді або на маршрутах до них;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широка мережа АЗС у Харківській області;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можливість використання пального без суттєвих додаткових логістичних витрат або значного відхилення від маршрутів.</w:t>
      </w:r>
    </w:p>
    <w:p w:rsidR="00000000" w:rsidDel="00000000" w:rsidP="00000000" w:rsidRDefault="00000000" w:rsidRPr="00000000" w14:paraId="00000056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Відсутність АЗС безпосередньо в конкретному населеному пункті не є автоматичною підставою для відхилення, якщо учасник забезпечує реальну операційну доступність пального для потреб проєкту.</w:t>
      </w:r>
    </w:p>
    <w:p w:rsidR="00000000" w:rsidDel="00000000" w:rsidP="00000000" w:rsidRDefault="00000000" w:rsidRPr="00000000" w14:paraId="00000057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5.4. Адміністрування та використання</w:t>
      </w:r>
    </w:p>
    <w:p w:rsidR="00000000" w:rsidDel="00000000" w:rsidP="00000000" w:rsidRDefault="00000000" w:rsidRPr="00000000" w14:paraId="0000005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Учасник повинен, якщо це застосовно, надати інформацію щодо: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строку дії талонів / карток / кодів;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порядку активації;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порядку видачі, заміни або блокування у разі втрати;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можливості отримання звітності щодо використання;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інших технічних або організаційних особливостей користування.</w:t>
      </w:r>
    </w:p>
    <w:p w:rsidR="00000000" w:rsidDel="00000000" w:rsidP="00000000" w:rsidRDefault="00000000" w:rsidRPr="00000000" w14:paraId="0000005F">
      <w:pPr>
        <w:spacing w:after="0" w:before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5.5. Порядок використання</w:t>
      </w:r>
    </w:p>
    <w:p w:rsidR="00000000" w:rsidDel="00000000" w:rsidP="00000000" w:rsidRDefault="00000000" w:rsidRPr="00000000" w14:paraId="0000006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Постачальник повинен забезпечити можливість використання пального у звичайному операційному режимі діяльності Замовника без надмірних адміністративних або технічних ускладнень.</w:t>
      </w:r>
    </w:p>
    <w:p w:rsidR="00000000" w:rsidDel="00000000" w:rsidP="00000000" w:rsidRDefault="00000000" w:rsidRPr="00000000" w14:paraId="0000006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Вимоги до якості</w:t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  <w:t xml:space="preserve">Пальне має відповідати чинним в Україні стандартам, технічним регламентам та іншим нормативним вимогам, що застосовуються до відповідного виду пального.</w:t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  <w:t xml:space="preserve">У разі потреби Замовник має право запросити документи, що підтверджують якість пального, у межах, передбачених законодавством України або внутрішніми процедурами постачальника.</w:t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Документація, що подається у складі пропозиції</w:t>
      </w:r>
    </w:p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  <w:t xml:space="preserve">У складі тендерної пропозиції учасник повинен надати: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заповнену Форму тендерної пропозиції за Додатком 2;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базові реєстраційні документи учасника;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документ, що підтверджує повноваження підписанта;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опис запропонованого механізму постачання / відпуску пального;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інформацію про покриття мережі АЗС або посилання на карту мережі;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інформацію про строк дії талонів / карток / кодів, якщо застосовно;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інформацію про умови оплати.</w:t>
      </w:r>
    </w:p>
    <w:p w:rsidR="00000000" w:rsidDel="00000000" w:rsidP="00000000" w:rsidRDefault="00000000" w:rsidRPr="00000000" w14:paraId="0000007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/>
      </w:pPr>
      <w:r w:rsidDel="00000000" w:rsidR="00000000" w:rsidRPr="00000000">
        <w:rPr>
          <w:rtl w:val="0"/>
        </w:rPr>
        <w:t xml:space="preserve">При укладенні договору та/або постачанні учасник-переможець повинен надати належний пакет первинних документів, необхідних для оформлення закупівлі відповідно до законодавства України та внутрішніх процедур Замовника.</w:t>
      </w:r>
    </w:p>
    <w:p w:rsidR="00000000" w:rsidDel="00000000" w:rsidP="00000000" w:rsidRDefault="00000000" w:rsidRPr="00000000" w14:paraId="0000007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Принцип еквівалентності</w:t>
      </w:r>
    </w:p>
    <w:p w:rsidR="00000000" w:rsidDel="00000000" w:rsidP="00000000" w:rsidRDefault="00000000" w:rsidRPr="00000000" w14:paraId="0000007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/>
      </w:pPr>
      <w:r w:rsidDel="00000000" w:rsidR="00000000" w:rsidRPr="00000000">
        <w:rPr>
          <w:rtl w:val="0"/>
        </w:rPr>
        <w:t xml:space="preserve">Усі вимоги цього Технічного завдання є мінімальними та функціональними. Допускаються еквівалентні механізми відпуску пального та еквівалентні організаційні рішення, що не є гіршими за сукупністю технічних, функціональних та операційних характеристик.</w:t>
      </w:r>
    </w:p>
    <w:p w:rsidR="00000000" w:rsidDel="00000000" w:rsidP="00000000" w:rsidRDefault="00000000" w:rsidRPr="00000000" w14:paraId="0000007B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Примітка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/>
      </w:pPr>
      <w:r w:rsidDel="00000000" w:rsidR="00000000" w:rsidRPr="00000000">
        <w:rPr>
          <w:rtl w:val="0"/>
        </w:rPr>
        <w:t xml:space="preserve">Невідповідність хоча б одній з обов’язкових мінімальних вимог цього Технічного завдання є підставою для відхилення тендерної пропозиції як такої, що не відповідає умовам закупівлі.</w:t>
      </w:r>
    </w:p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  <w:t xml:space="preserve">Несуттєві формальні неточності в описі або документах, які не впливають на зміст пропозиції та можливість її оцінки, можуть бути уточнені Замовником у робочому порядку.</w:t>
      </w:r>
    </w:p>
    <w:p w:rsidR="00000000" w:rsidDel="00000000" w:rsidP="00000000" w:rsidRDefault="00000000" w:rsidRPr="00000000" w14:paraId="0000008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Контактна інформація та подання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  <w:t xml:space="preserve">Кінцевий термін подання тендерних пропозицій:</w:t>
      </w:r>
    </w:p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  <w:t xml:space="preserve">08 травня 2026 року, 18:00 (за київським часом)</w:t>
      </w:r>
    </w:p>
    <w:p w:rsidR="00000000" w:rsidDel="00000000" w:rsidP="00000000" w:rsidRDefault="00000000" w:rsidRPr="00000000" w14:paraId="0000008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/>
      </w:pPr>
      <w:r w:rsidDel="00000000" w:rsidR="00000000" w:rsidRPr="00000000">
        <w:rPr>
          <w:rtl w:val="0"/>
        </w:rPr>
        <w:t xml:space="preserve">Email для подання пропозицій:</w:t>
      </w:r>
    </w:p>
    <w:p w:rsidR="00000000" w:rsidDel="00000000" w:rsidP="00000000" w:rsidRDefault="00000000" w:rsidRPr="00000000" w14:paraId="00000086">
      <w:pPr>
        <w:spacing w:line="276" w:lineRule="auto"/>
        <w:rPr/>
      </w:pPr>
      <w:r w:rsidDel="00000000" w:rsidR="00000000" w:rsidRPr="00000000">
        <w:rPr>
          <w:rtl w:val="0"/>
        </w:rPr>
        <w:t xml:space="preserve">procurement@missionkharkiv.org</w:t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/>
      </w:pPr>
      <w:r w:rsidDel="00000000" w:rsidR="00000000" w:rsidRPr="00000000">
        <w:rPr>
          <w:rtl w:val="0"/>
        </w:rPr>
        <w:t xml:space="preserve">Контактний підрозділ:</w:t>
      </w:r>
    </w:p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</w:t>
      </w:r>
    </w:p>
    <w:p w:rsidR="00000000" w:rsidDel="00000000" w:rsidP="00000000" w:rsidRDefault="00000000" w:rsidRPr="00000000" w14:paraId="0000008A">
      <w:pPr>
        <w:spacing w:line="276" w:lineRule="auto"/>
        <w:rPr/>
      </w:pPr>
      <w:r w:rsidDel="00000000" w:rsidR="00000000" w:rsidRPr="00000000">
        <w:rPr>
          <w:rtl w:val="0"/>
        </w:rPr>
        <w:t xml:space="preserve">Відділ закупівлі і логістики</w:t>
      </w:r>
    </w:p>
    <w:p w:rsidR="00000000" w:rsidDel="00000000" w:rsidP="00000000" w:rsidRDefault="00000000" w:rsidRPr="00000000" w14:paraId="0000008B">
      <w:pPr>
        <w:spacing w:line="276" w:lineRule="auto"/>
        <w:rPr/>
      </w:pPr>
      <w:r w:rsidDel="00000000" w:rsidR="00000000" w:rsidRPr="00000000">
        <w:rPr>
          <w:rtl w:val="0"/>
        </w:rPr>
        <w:t xml:space="preserve">Email: procurement@missionkharkiv.org</w:t>
      </w:r>
    </w:p>
    <w:p w:rsidR="00000000" w:rsidDel="00000000" w:rsidP="00000000" w:rsidRDefault="00000000" w:rsidRPr="00000000" w14:paraId="0000008C">
      <w:pPr>
        <w:spacing w:line="276" w:lineRule="auto"/>
        <w:rPr/>
      </w:pPr>
      <w:r w:rsidDel="00000000" w:rsidR="00000000" w:rsidRPr="00000000">
        <w:rPr>
          <w:rtl w:val="0"/>
        </w:rPr>
        <w:t xml:space="preserve">Телефон: +38 097 671 82 41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tabs>
        <w:tab w:val="center" w:leader="none" w:pos="4680"/>
        <w:tab w:val="right" w:leader="none" w:pos="9360"/>
        <w:tab w:val="left" w:leader="none" w:pos="7271"/>
      </w:tabs>
      <w:spacing w:line="240" w:lineRule="auto"/>
      <w:ind w:left="-56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-342898</wp:posOffset>
          </wp:positionH>
          <wp:positionV relativeFrom="paragraph">
            <wp:posOffset>19050</wp:posOffset>
          </wp:positionV>
          <wp:extent cx="1600203" cy="426721"/>
          <wp:effectExtent b="0" l="0" r="0" t="0"/>
          <wp:wrapTopAndBottom distB="0" distT="0"/>
          <wp:docPr descr="A black background with a black square&#10;&#10;AI-generated content may be incorrect." id="3" name="image3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3" cy="4267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0</wp:posOffset>
          </wp:positionV>
          <wp:extent cx="1676400" cy="426720"/>
          <wp:effectExtent b="0" l="0" r="0" t="0"/>
          <wp:wrapTopAndBottom distB="0" distT="0"/>
          <wp:docPr descr="A black background with a black square&#10;&#10;AI-generated content may be incorrect." id="2" name="image2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Xdeb+HxvQ4lQN6QsvPyhxomxA==">CgMxLjA4AHIhMVZnYldmVG15RU1Ha1E2YUhkVjhydUNMNklKS1FGa0ts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