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Оголошення про відкриті торги та запрошення до участі у тендері на закупівлю пального для забезпечення реалізації проєкту «Здоров’я та захист: мобільне реагування для стійких громад у Харківській області».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м. Харків,</w:t>
        <w:tab/>
        <w:tab/>
        <w:tab/>
        <w:tab/>
        <w:tab/>
        <w:tab/>
        <w:tab/>
        <w:tab/>
        <w:tab/>
        <w:t xml:space="preserve">24 квітня 2026 року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Благодійна організація «Благодійний фонд «Місія Харків»</w:t>
      </w:r>
      <w:r w:rsidDel="00000000" w:rsidR="00000000" w:rsidRPr="00000000">
        <w:rPr>
          <w:rtl w:val="0"/>
        </w:rPr>
        <w:br w:type="textWrapping"/>
        <w:t xml:space="preserve">ЄДРПОУ 44892289</w:t>
        <w:br w:type="textWrapping"/>
        <w:t xml:space="preserve">61022, м. Харків, пр. Незалежності, 5</w:t>
        <w:br w:type="textWrapping"/>
        <w:t xml:space="preserve">Дата оголошення: 24 квітня 2026 року</w:t>
        <w:br w:type="textWrapping"/>
        <w:t xml:space="preserve">Референс №: </w:t>
      </w:r>
      <w:r w:rsidDel="00000000" w:rsidR="00000000" w:rsidRPr="00000000">
        <w:rPr>
          <w:b w:val="1"/>
          <w:bCs w:val="1"/>
          <w:rtl w:val="0"/>
        </w:rPr>
        <w:t xml:space="preserve">TENDER/MK/FUEL/GIZ/2026-04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3o3x2i7nlvl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«Місія Харків» оголошує відкриті торги та запрошує кваліфікованих постачальників подати тендерні пропозиції на закупівлю пального для забезпечення реалізації проєкту «Здоров’я та захист: мобільне реагування для стійких громад у Харківській області».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Проєкт реалізується БО «БФ «МІСІЯ ХАРКІВ» в межах проєкту EMPOWER, що фінансується Федеральним міністерством економічного співробітництва та розвитку Німеччини (BMZ) спільно з Європейським Союзом та впроваджується GIZ Ukraine.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Проєкт передбачає виїзди мобільних медичних бригад та команд соціального захисту до віддалених населених пунктів громад Харківської області з метою надання первинної медичної допомоги, психосоціальної підтримки, юридичного консультування та кейс-менеджменту для мешканців, які постраждали внаслідок війни, а також проведення навчальних заходів для підвищення потенціалу місцевих фахівців у сфері охорони здоров’я, освіти та соціального захисту.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Наявність пального є критично необхідною для забезпечення безперервності зазначених заходів. Подальше відтермінування закупівлі негативно впливає на виконання проєктних зобов’язань та своєчасну реалізацію запланованих активностей.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2leojvxqgiv5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Інформація про замовника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Благодійна організація “Благодійний фонд «Місія Харків»”</w:t>
        <w:br w:type="textWrapping"/>
        <w:t xml:space="preserve">ЄДРПОУ 44892289</w:t>
        <w:br w:type="textWrapping"/>
        <w:t xml:space="preserve">61022, м. Харків, пр. Незалежності, 5</w:t>
      </w:r>
    </w:p>
    <w:p w:rsidR="00000000" w:rsidDel="00000000" w:rsidP="00000000" w:rsidRDefault="00000000" w:rsidRPr="00000000" w14:paraId="0000001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Email: procurement@missionkharkiv.org</w:t>
        <w:br w:type="textWrapping"/>
        <w:t xml:space="preserve">Тел.: +380976718241</w:t>
      </w:r>
    </w:p>
    <w:p w:rsidR="00000000" w:rsidDel="00000000" w:rsidP="00000000" w:rsidRDefault="00000000" w:rsidRPr="00000000" w14:paraId="0000001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Email для подання пропозицій: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procurement@missionkharkiv.org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Email для запитань і уточнень: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procurement@missionkharkiv.org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Предмет закупівлі</w:t>
      </w:r>
    </w:p>
    <w:p w:rsidR="00000000" w:rsidDel="00000000" w:rsidP="00000000" w:rsidRDefault="00000000" w:rsidRPr="00000000" w14:paraId="0000001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Предмет закупівлі: пальне для забезпечення експлуатації 3 транспортних засобів у межах реалізації проєкту.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Структура потреби: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бензин А-95 або еквівалент для 2 бензинових автомобілів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дизельне паливо для 1 дизельного автомобіля</w:t>
      </w:r>
    </w:p>
    <w:p w:rsidR="00000000" w:rsidDel="00000000" w:rsidP="00000000" w:rsidRDefault="00000000" w:rsidRPr="00000000" w14:paraId="0000001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Період використання транспортних засобів: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дизельний автомобіль: 10 місяців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бензинові автомобілі: 7 місяців кожний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Обсяг закупівлі, розрахований станом на 16.04.2026 в межах погодженого бюджету: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бензин А-95 або еквівалент: 4 642 л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дизельне паливо:  2 117 л</w:t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Загальний обсяг: 6 759 л</w:t>
      </w:r>
    </w:p>
    <w:p w:rsidR="00000000" w:rsidDel="00000000" w:rsidP="00000000" w:rsidRDefault="00000000" w:rsidRPr="00000000" w14:paraId="0000002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Замовник залишає за собою право уточнювати фактичний обсяг закупівлі в межах погодженого бюджету та відповідно до остаточних умов тендерних пропозицій.</w:t>
      </w:r>
    </w:p>
    <w:p w:rsidR="00000000" w:rsidDel="00000000" w:rsidP="00000000" w:rsidRDefault="00000000" w:rsidRPr="00000000" w14:paraId="0000002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Місце використання: місто Харків, Валківська громада Богодухівського району та Кегичівська громада Берестинського району Харківської області, а також маршрути, пов’язані з реалізацією проєкту.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yic6yml1xxsr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Підстава та процедура</w:t>
      </w:r>
    </w:p>
    <w:p w:rsidR="00000000" w:rsidDel="00000000" w:rsidP="00000000" w:rsidRDefault="00000000" w:rsidRPr="00000000" w14:paraId="00000024">
      <w:pPr>
        <w:spacing w:after="240" w:line="276" w:lineRule="auto"/>
        <w:rPr/>
      </w:pPr>
      <w:r w:rsidDel="00000000" w:rsidR="00000000" w:rsidRPr="00000000">
        <w:rPr>
          <w:rtl w:val="0"/>
        </w:rPr>
        <w:t xml:space="preserve">Закупівля здійснюється відповідно до Політики про порядок проведення закупівель Благодійної організації “Благодійний фонд «Місія Харків», наказу №12 від 06.04.2026 Про призначення відповідальних за процедуру закупівлі в рамках проєкту «Здоров’я та захист: мобільне реагування для стійких громад у Харківській області».</w:t>
      </w:r>
    </w:p>
    <w:p w:rsidR="00000000" w:rsidDel="00000000" w:rsidP="00000000" w:rsidRDefault="00000000" w:rsidRPr="00000000" w14:paraId="0000002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З огляду на очікувану вартість закупівлі застосовується процедура відкритих торгів. З метою забезпечення прозорості процедура закупівлі додатково публікується на платформі Громадський Простір (Prostir.ua)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9te4qqwk8j2y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Технічні вимоги</w:t>
      </w:r>
    </w:p>
    <w:p w:rsidR="00000000" w:rsidDel="00000000" w:rsidP="00000000" w:rsidRDefault="00000000" w:rsidRPr="00000000" w14:paraId="0000002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Технічні, функціональні та якісні характеристики предмета закупівлі визначені у документі:</w:t>
      </w:r>
    </w:p>
    <w:p w:rsidR="00000000" w:rsidDel="00000000" w:rsidP="00000000" w:rsidRDefault="00000000" w:rsidRPr="00000000" w14:paraId="00000028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Додаток 1. Технічне завдання / специфікація на закупівлю пального для забезпечення реалізації проєкту «Здоров’я та захист: мобільне реагування для стійких громад у Харківській області».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Учасник має підтвердити відповідність запропонованих умов усім мінімальним вимогам Технічного завдання.</w:t>
      </w:r>
    </w:p>
    <w:p w:rsidR="00000000" w:rsidDel="00000000" w:rsidP="00000000" w:rsidRDefault="00000000" w:rsidRPr="00000000" w14:paraId="0000002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Допускаються різні робочі механізми відпуску пального, зокрема: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паливні картки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талони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електронні талони / електронні коди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інший безготівковий механізм, що забезпечує фактичний відпуск пального</w:t>
      </w:r>
    </w:p>
    <w:p w:rsidR="00000000" w:rsidDel="00000000" w:rsidP="00000000" w:rsidRDefault="00000000" w:rsidRPr="00000000" w14:paraId="0000002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Невідповідність хоча б одній обов’язковій вимозі Технічного завдання може бути підставою для відхилення пропозиції.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cqrw8om5s436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Вимоги до учасників та критерії прийнятності</w:t>
      </w:r>
    </w:p>
    <w:p w:rsidR="00000000" w:rsidDel="00000000" w:rsidP="00000000" w:rsidRDefault="00000000" w:rsidRPr="00000000" w14:paraId="00000031">
      <w:pPr>
        <w:spacing w:after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До участі допускаються учасники, які: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є юридичними особами або ФОП, зареєстрованими в Україні та мають право здійснювати відповідну діяльність;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мають чинну мережу АЗС або договірні механізми відпуску пального на території України;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мають фактичне покриття в Харківській області та можливість забезпечення потреб проєкту в цільових громадах або на маршрутах до них;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мають конфлікту інтересів із Замовником;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погоджуються з антикорупційними та етичними вимогами Замовника.</w:t>
      </w:r>
    </w:p>
    <w:p w:rsidR="00000000" w:rsidDel="00000000" w:rsidP="00000000" w:rsidRDefault="00000000" w:rsidRPr="00000000" w14:paraId="00000037">
      <w:pPr>
        <w:spacing w:after="24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Замовник залишає за собою право відхилити пропозицію учасника у разі виявлення недостовірної інформації або обставин, що суперечать принципам прозорості та доброчесності.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yek63lr7v7lp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Перелік документів, які учасник має подати у складі пропозиції</w:t>
      </w:r>
    </w:p>
    <w:p w:rsidR="00000000" w:rsidDel="00000000" w:rsidP="00000000" w:rsidRDefault="00000000" w:rsidRPr="00000000" w14:paraId="0000003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Пропозиція подається одним пакетом та має містити: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276" w:lineRule="auto"/>
        <w:rPr>
          <w:color w:val="000000"/>
          <w:sz w:val="24"/>
          <w:szCs w:val="24"/>
        </w:rPr>
      </w:pPr>
      <w:bookmarkStart w:colFirst="0" w:colLast="0" w:name="_heading=h.iqrnf1mg80xp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A. Адміністративні документи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форма тендерної пропозиції, що включає цінову пропозицію, за формою Додатка 2;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копія витягу / виписки з ЄДРПОУ або інший реєстраційний документ;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документ, що підтверджує повноваження підписанта.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="276" w:lineRule="auto"/>
        <w:rPr>
          <w:color w:val="000000"/>
          <w:sz w:val="24"/>
          <w:szCs w:val="24"/>
        </w:rPr>
      </w:pPr>
      <w:bookmarkStart w:colFirst="0" w:colLast="0" w:name="_heading=h.dlt7gq85k6op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B. Технічна частина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короткий опис запропонованого механізму відпуску пального;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інформація про покриття мережі АЗС або посилання на карту мережі;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інформація про строк дії талонів / карток / кодів, якщо застосовно;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за потреби короткий лист-пояснення щодо окремих умов постачання.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="276" w:lineRule="auto"/>
        <w:rPr>
          <w:color w:val="000000"/>
          <w:sz w:val="24"/>
          <w:szCs w:val="24"/>
        </w:rPr>
      </w:pPr>
      <w:bookmarkStart w:colFirst="0" w:colLast="0" w:name="_heading=h.dzwbh1t15ele" w:id="8"/>
      <w:bookmarkEnd w:id="8"/>
      <w:r w:rsidDel="00000000" w:rsidR="00000000" w:rsidRPr="00000000">
        <w:rPr>
          <w:color w:val="000000"/>
          <w:sz w:val="24"/>
          <w:szCs w:val="24"/>
          <w:rtl w:val="0"/>
        </w:rPr>
        <w:t xml:space="preserve">C. Фінансова частина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заповнена форма Додатка 2 з обов’язковим зазначенням: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ціни за 1 літр бензину;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ціни за 1 літр дизельного пального;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загальної вартості пропозиції;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умов оплати;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строку дії пропозиції;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строку активації / передачі талонів, карток або інших інструментів.</w:t>
      </w:r>
    </w:p>
    <w:p w:rsidR="00000000" w:rsidDel="00000000" w:rsidP="00000000" w:rsidRDefault="00000000" w:rsidRPr="00000000" w14:paraId="0000004B">
      <w:pPr>
        <w:spacing w:after="240" w:before="240" w:line="276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Подання пропозиції без ціни за одиницю та загальної вартості не допускається.</w:t>
      </w:r>
    </w:p>
    <w:p w:rsidR="00000000" w:rsidDel="00000000" w:rsidP="00000000" w:rsidRDefault="00000000" w:rsidRPr="00000000" w14:paraId="0000004C">
      <w:pPr>
        <w:spacing w:after="240" w:before="240" w:line="276" w:lineRule="auto"/>
        <w:ind w:left="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276" w:lineRule="auto"/>
        <w:ind w:left="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y0hdy6pfh1q4" w:id="9"/>
      <w:bookmarkEnd w:id="9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Валюта та ціноутворення</w:t>
      </w:r>
    </w:p>
    <w:p w:rsidR="00000000" w:rsidDel="00000000" w:rsidP="00000000" w:rsidRDefault="00000000" w:rsidRPr="00000000" w14:paraId="0000004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Пропозиція подається в гривні.</w:t>
      </w:r>
    </w:p>
    <w:p w:rsidR="00000000" w:rsidDel="00000000" w:rsidP="00000000" w:rsidRDefault="00000000" w:rsidRPr="00000000" w14:paraId="0000005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Ціна має включати всі витрати, пов’язані з постачанням предмета закупівлі, включно з: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вартістю пального;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вартістю виготовлення та передачі талонів, карток, електронних кодів або інших інструментів, якщо застосовно;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адміністративними витратами;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податками та зборами;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іншими супутніми витратами постачальника.</w:t>
      </w:r>
    </w:p>
    <w:p w:rsidR="00000000" w:rsidDel="00000000" w:rsidP="00000000" w:rsidRDefault="00000000" w:rsidRPr="00000000" w14:paraId="0000005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Оплата здійснюється у безготівковій формі відповідно до умов договору та тендерної пропозиції переможця.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6wnnkgz939w8" w:id="10"/>
      <w:bookmarkEnd w:id="1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Критерії оцінки та метод визначення переможця</w:t>
      </w:r>
    </w:p>
    <w:p w:rsidR="00000000" w:rsidDel="00000000" w:rsidP="00000000" w:rsidRDefault="00000000" w:rsidRPr="00000000" w14:paraId="0000005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Оцінка здійснюється за принципом найкращого співвідношення ціни та відповідності вимогам.</w:t>
      </w:r>
    </w:p>
    <w:p w:rsidR="00000000" w:rsidDel="00000000" w:rsidP="00000000" w:rsidRDefault="00000000" w:rsidRPr="00000000" w14:paraId="0000005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Мінімальні кваліфікаційні умови: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повна відповідність Технічному завданню;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подання основних документів, передбачених цим оголошенням.</w:t>
        <w:br w:type="textWrapping"/>
      </w:r>
    </w:p>
    <w:p w:rsidR="00000000" w:rsidDel="00000000" w:rsidP="00000000" w:rsidRDefault="00000000" w:rsidRPr="00000000" w14:paraId="0000005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Критерії визначення переможця: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Ціна – 60%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Покриття АЗС та операційна доступність – 20%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Умови відпуску та адміністрування – 20%</w:t>
      </w:r>
    </w:p>
    <w:p w:rsidR="00000000" w:rsidDel="00000000" w:rsidP="00000000" w:rsidRDefault="00000000" w:rsidRPr="00000000" w14:paraId="0000006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Невідповідність хоча б одній обов’язковій вимозі Додатка 1 (Технічне завдання) є підставою для відхилення пропозиції.</w:t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nhufmz7rchcn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Запити на уточнення та внесення змін</w:t>
      </w:r>
    </w:p>
    <w:p w:rsidR="00000000" w:rsidDel="00000000" w:rsidP="00000000" w:rsidRDefault="00000000" w:rsidRPr="00000000" w14:paraId="0000006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Кінцевий строк для запитань: 06.05.2026 до 18:00</w:t>
        <w:br w:type="textWrapping"/>
        <w:t xml:space="preserve">Остаточний строк надання відповідей Замовником: 07.05.2026 до 18:00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rvcu78cqvtce" w:id="12"/>
      <w:bookmarkEnd w:id="1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Порядок подання пропозицій</w:t>
      </w:r>
    </w:p>
    <w:p w:rsidR="00000000" w:rsidDel="00000000" w:rsidP="00000000" w:rsidRDefault="00000000" w:rsidRPr="00000000" w14:paraId="0000006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Форма подання: електронною поштою</w:t>
      </w:r>
    </w:p>
    <w:p w:rsidR="00000000" w:rsidDel="00000000" w:rsidP="00000000" w:rsidRDefault="00000000" w:rsidRPr="00000000" w14:paraId="0000006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Тема листа:</w:t>
        <w:br w:type="textWrapping"/>
        <w:t xml:space="preserve">Відкриті торги Паливо TENDER/MK/FUEL/GIZ/2026-04 Назва учасника</w:t>
      </w:r>
    </w:p>
    <w:p w:rsidR="00000000" w:rsidDel="00000000" w:rsidP="00000000" w:rsidRDefault="00000000" w:rsidRPr="00000000" w14:paraId="0000006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Формат файлів: PDF (підписаний скан або КЕП), Excel для цінової форми за потреби.</w:t>
      </w:r>
    </w:p>
    <w:p w:rsidR="00000000" w:rsidDel="00000000" w:rsidP="00000000" w:rsidRDefault="00000000" w:rsidRPr="00000000" w14:paraId="0000006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Подання паперових оригіналів документів на етапі подання тендерних пропозицій не вимагається. Оригінали документів надаються лише переможцем процедури під час укладення договору та/або поставки товару.</w:t>
      </w:r>
    </w:p>
    <w:p w:rsidR="00000000" w:rsidDel="00000000" w:rsidP="00000000" w:rsidRDefault="00000000" w:rsidRPr="00000000" w14:paraId="00000068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Кінцевий строк подання пропозицій:</w:t>
        <w:br w:type="textWrapping"/>
        <w:t xml:space="preserve">08.05.2026 до 18:00, за київським часом</w:t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mlni01hr565b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12. Умови конфіденційності та доброчесності</w:t>
      </w:r>
    </w:p>
    <w:p w:rsidR="00000000" w:rsidDel="00000000" w:rsidP="00000000" w:rsidRDefault="00000000" w:rsidRPr="00000000" w14:paraId="0000006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Учасники зобов’язані дотримуватися принципів доброчесності.</w:t>
        <w:br w:type="textWrapping"/>
        <w:t xml:space="preserve">Будь-які спроби впливу на рішення Замовника є підставою для відхилення пропозиції.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nkdo7xjn6xdi" w:id="14"/>
      <w:bookmarkEnd w:id="1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13. Проєкт договору та ключові умови</w:t>
      </w:r>
    </w:p>
    <w:p w:rsidR="00000000" w:rsidDel="00000000" w:rsidP="00000000" w:rsidRDefault="00000000" w:rsidRPr="00000000" w14:paraId="0000006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Проєкт договору не вимагається у складі тендерної пропозиції. Подання тендерної пропозиції означає згоду учасника з ключовими умовами закупівлі. Договір укладається з переможцем процедури після завершення оцінки тендерних пропозицій на основі умов тендерної пропозиції та цього оголошення.</w:t>
      </w:r>
    </w:p>
    <w:p w:rsidR="00000000" w:rsidDel="00000000" w:rsidP="00000000" w:rsidRDefault="00000000" w:rsidRPr="00000000" w14:paraId="0000006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Ключові умови: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відповідність виду пального та механізму відпуску вимогам Додатка 1;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можливість безперебійного використання пального у межах проєкту;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передача належного пакету первинних документів;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належний механізм адміністрування, заміни або блокування карток / кодів / талонів, якщо застосовно;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оплата відповідно до умов договору та пропозиції переможця.</w:t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28"/>
          <w:szCs w:val="28"/>
        </w:rPr>
      </w:pPr>
      <w:bookmarkStart w:colFirst="0" w:colLast="0" w:name="_heading=h.72s12yxobhs5" w:id="15"/>
      <w:bookmarkEnd w:id="1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14. Додатки до оголошення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pacing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Додаток 1. Технічне завдання на закупівлю пального для забезпечення реалізації проєкту «Здоров’я та захист: мобільне реагування для стійких громад у Харківській області»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spacing w:after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Додаток 2. Форма тендерної пропозиції (включає цінову пропозицію) на закупівлю пального для забезпечення реалізації проєкту «Здоров’я та захист: мобільне реагування для стійких громад у Харківській області» </w:t>
      </w:r>
    </w:p>
    <w:p w:rsidR="00000000" w:rsidDel="00000000" w:rsidP="00000000" w:rsidRDefault="00000000" w:rsidRPr="00000000" w14:paraId="00000076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Підпис уповноваженої особи: ____________________</w:t>
        <w:br w:type="textWrapping"/>
        <w:t xml:space="preserve">ПІБ: ____________________</w:t>
        <w:br w:type="textWrapping"/>
        <w:t xml:space="preserve">Посада: ____________________</w:t>
        <w:br w:type="textWrapping"/>
        <w:t xml:space="preserve">Дата: 24 квітня 2026 року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tabs>
        <w:tab w:val="center" w:leader="none" w:pos="4680"/>
        <w:tab w:val="right" w:leader="none" w:pos="9360"/>
        <w:tab w:val="left" w:leader="none" w:pos="7271"/>
      </w:tabs>
      <w:spacing w:line="240" w:lineRule="auto"/>
      <w:ind w:left="-56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-342898</wp:posOffset>
          </wp:positionH>
          <wp:positionV relativeFrom="paragraph">
            <wp:posOffset>19050</wp:posOffset>
          </wp:positionV>
          <wp:extent cx="1600203" cy="426721"/>
          <wp:effectExtent b="0" l="0" r="0" t="0"/>
          <wp:wrapTopAndBottom distB="0" distT="0"/>
          <wp:docPr descr="A black background with a black square&#10;&#10;AI-generated content may be incorrect." id="3" name="image3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3" cy="4267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0</wp:posOffset>
          </wp:positionV>
          <wp:extent cx="1676400" cy="426720"/>
          <wp:effectExtent b="0" l="0" r="0" t="0"/>
          <wp:wrapTopAndBottom distB="0" distT="0"/>
          <wp:docPr descr="A black background with a black square&#10;&#10;AI-generated content may be incorrect." id="2" name="image2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curement@missionkharkiv.org" TargetMode="External"/><Relationship Id="rId8" Type="http://schemas.openxmlformats.org/officeDocument/2006/relationships/hyperlink" Target="mailto:procurement@missionkharkiv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uEu4P5/cuoek+TOzUuI6zJvCw==">CgMxLjAyDmguM28zeDJpN25sdmxzMg5oLjJsZW9qdnhxZ2l2NTIOaC55aWM2eW1sMXh4c3IyDmguOXRlNHFxd2s4ajJ5Mg5oLmNxcnc4b201czQzNjIOaC55ZWs2M2xyN3Y3bHAyDmguaXFybmYxbWc4MHhwMg5oLmRsdDdncTg1azZvcDIOaC5kendiaDF0MTVlbGUyDmgueTBoZHk2cGZoMXE0Mg5oLjZ3bm5rZ3o5Mzl3ODIOaC5uaHVmbXo3cmNoY24yDmgucnZjdTc4Y3F2dGNlMg5oLm1sbmkwMWhyNTY1YjIOaC5ua2RvN3hqbjZ4ZGkyDmguNzJzMTJ5eG9iaHM1OAByITFQUG9tRl9lbmd3R3R1OTdDdzdpZGJtVzlZb2duc25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