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88" w:lineRule="auto"/>
        <w:jc w:val="right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Додаток 3.</w:t>
      </w:r>
    </w:p>
    <w:p w:rsidR="00000000" w:rsidDel="00000000" w:rsidP="00000000" w:rsidRDefault="00000000" w:rsidRPr="00000000" w14:paraId="00000002">
      <w:pPr>
        <w:pStyle w:val="Heading2"/>
        <w:keepLines w:val="0"/>
        <w:spacing w:after="0" w:before="0" w:line="288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Lines w:val="0"/>
        <w:spacing w:after="0" w:before="0" w:line="288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Lines w:val="0"/>
        <w:spacing w:after="0" w:before="0" w:line="288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ЛИСТ ПРО ВІДПОВІДНІСТЬ</w:t>
      </w:r>
    </w:p>
    <w:p w:rsidR="00000000" w:rsidDel="00000000" w:rsidP="00000000" w:rsidRDefault="00000000" w:rsidRPr="00000000" w14:paraId="00000005">
      <w:pPr>
        <w:keepLines w:val="1"/>
        <w:spacing w:after="12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after="12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Цим листом засвідчую, що:</w:t>
      </w:r>
    </w:p>
    <w:p w:rsidR="00000000" w:rsidDel="00000000" w:rsidP="00000000" w:rsidRDefault="00000000" w:rsidRPr="00000000" w14:paraId="00000007">
      <w:pPr>
        <w:keepLines w:val="1"/>
        <w:spacing w:after="12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(для ФОП)  Я, ____________________________(прізвище, ім‘я, по-батькові -)</w:t>
      </w:r>
    </w:p>
    <w:p w:rsidR="00000000" w:rsidDel="00000000" w:rsidP="00000000" w:rsidRDefault="00000000" w:rsidRPr="00000000" w14:paraId="00000008">
      <w:pPr>
        <w:keepLines w:val="1"/>
        <w:spacing w:after="12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(для організації)  Організація-учасниця тендеру _______________________________ (назва організації)</w:t>
      </w:r>
    </w:p>
    <w:p w:rsidR="00000000" w:rsidDel="00000000" w:rsidP="00000000" w:rsidRDefault="00000000" w:rsidRPr="00000000" w14:paraId="00000009">
      <w:pPr>
        <w:keepLines w:val="1"/>
        <w:spacing w:after="12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не перебуваю(є) у жодній ситуації із нижче переліченого списку.</w:t>
      </w:r>
    </w:p>
    <w:p w:rsidR="00000000" w:rsidDel="00000000" w:rsidP="00000000" w:rsidRDefault="00000000" w:rsidRPr="00000000" w14:paraId="0000000A">
      <w:pPr>
        <w:keepLines w:val="1"/>
        <w:spacing w:after="12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 (підпис ФОП або керівника організації, дата)</w:t>
      </w:r>
    </w:p>
    <w:p w:rsidR="00000000" w:rsidDel="00000000" w:rsidP="00000000" w:rsidRDefault="00000000" w:rsidRPr="00000000" w14:paraId="0000000B">
      <w:pPr>
        <w:pStyle w:val="Heading2"/>
        <w:keepLines w:val="0"/>
        <w:spacing w:after="0" w:before="0" w:line="288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Lines w:val="0"/>
        <w:spacing w:after="0" w:before="0" w:line="288" w:lineRule="auto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Причини виключення учасника тендеру із тендерної процедури:</w:t>
      </w:r>
    </w:p>
    <w:p w:rsidR="00000000" w:rsidDel="00000000" w:rsidP="00000000" w:rsidRDefault="00000000" w:rsidRPr="00000000" w14:paraId="0000000E">
      <w:pPr>
        <w:keepNext w:val="1"/>
        <w:spacing w:after="12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pacing w:after="120" w:line="288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(або переможець) тендеру буде виключений із участі в тендерній процедурі, якщо: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88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є банкрутом, перебуває під процедурою неплатоспроможності або ліквідації, його активи управляються ліквідатором або судом, перебуває у домовленості з кредиторами, його підприємницька діяльність призупинена, перебуває в будь-якій аналогічній ситуації під процедурою, передбаченою законами або нормами України;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88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Остаточним рішенням суду чи остаточним адміністративним рішенням було встановлено, що учасник тендеру винен у тяжкій професійній провині, порушивши чинні закони / норми / етичні стандарти професії, до якої належить учасник тендеру, або був викритий у будь-якій протиправній поведінці, що вплинуло на його ділову репутацію, і коли така поведінка означала неправомірний умисел або грубу недбалість, зокрема:</w:t>
      </w:r>
    </w:p>
    <w:p w:rsidR="00000000" w:rsidDel="00000000" w:rsidP="00000000" w:rsidRDefault="00000000" w:rsidRPr="00000000" w14:paraId="00000012">
      <w:pPr>
        <w:spacing w:line="288" w:lineRule="auto"/>
        <w:ind w:left="70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i) подання спотвореної або недбалої інформації, необхідної для перевірки відсутності підстав для виключення / відповідності критеріям відбору або для виконання контракту;</w:t>
      </w:r>
    </w:p>
    <w:p w:rsidR="00000000" w:rsidDel="00000000" w:rsidP="00000000" w:rsidRDefault="00000000" w:rsidRPr="00000000" w14:paraId="00000013">
      <w:pPr>
        <w:spacing w:line="288" w:lineRule="auto"/>
        <w:ind w:left="70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ii) змова з іншими економічними операторами з метою фальсифікації конкуренції;</w:t>
      </w:r>
    </w:p>
    <w:p w:rsidR="00000000" w:rsidDel="00000000" w:rsidP="00000000" w:rsidRDefault="00000000" w:rsidRPr="00000000" w14:paraId="00000014">
      <w:pPr>
        <w:spacing w:line="288" w:lineRule="auto"/>
        <w:ind w:left="70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iii) порушення прав інтелектуальної власності; </w:t>
      </w:r>
    </w:p>
    <w:p w:rsidR="00000000" w:rsidDel="00000000" w:rsidP="00000000" w:rsidRDefault="00000000" w:rsidRPr="00000000" w14:paraId="00000015">
      <w:pPr>
        <w:spacing w:line="288" w:lineRule="auto"/>
        <w:ind w:left="70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iv) спроба вплинути на процес прийняття рішень під час проведення процедури закупівлі; або</w:t>
      </w:r>
    </w:p>
    <w:p w:rsidR="00000000" w:rsidDel="00000000" w:rsidP="00000000" w:rsidRDefault="00000000" w:rsidRPr="00000000" w14:paraId="00000016">
      <w:pPr>
        <w:spacing w:line="288" w:lineRule="auto"/>
        <w:ind w:left="70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v) намагання отримати конфіденційну інформацію, яка могла б надати переваги в процедурі закупівлі; спроби контактів та переговорів зі стороною, яка оголосила тендер, з наміром вплинути на хід тендерної процедури;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88" w:lineRule="auto"/>
        <w:ind w:left="3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Остаточним рішенням суду або остаточним адміністративним рішенням було встановлено, що учасник тендеру порушує свої зобов'язання, пов'язані зі сплатою податків або внесків на соціальне забезпечення відповідно до чинного законодавства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88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Остаточним рішенням суду встановлено, що учасник (або особи, які мають повноваження його представляти, приймати рішення, здійснювати контроль), винні у будь-яких діях з нижче переліченого: шахрайство, корупція, участь у злочинній організації, відмивання грошей, фінансування тероризму, експлуатація дитячої праці (або будь-які інші форми торгівлі людьми), будь-яка інша незаконна діяльності, що завдає шкоди інтересам Швеції або України;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порушує права у сфері діяльності профспілок, використовуює незаконну працю неповнолітніх, використовує примусову працю, дискримінує працівників в питаннях оплати праці;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88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 тендеру продемонстрував суттєві недоліки у дотриманні основних зобов'язань із виконання контракту, що призвело до дострокового припинення правового зобов'язання, або до застосування процедури відшкодування збитків, або інших договірних штрафів, або до іншого, що було виявлено в результаті аудиту, перевірок або розслідувань;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20" w:line="288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Учасник, його дочірнє підприємство, чи інша компанія, що належить до тієї ж групи компаній, партнер консорціуму або інша філія, знаходяться у санкційному списку ЄС. Переліки осіб, груп, суб'єктів, що підпадають під санкції ЄС, публікуються веб-сайті: </w:t>
      </w:r>
      <w:hyperlink r:id="rId6">
        <w:r w:rsidDel="00000000" w:rsidR="00000000" w:rsidRPr="00000000">
          <w:rPr>
            <w:rFonts w:ascii="Calibri" w:cs="Calibri" w:eastAsia="Calibri" w:hAnsi="Calibri"/>
            <w:color w:val="0070c0"/>
            <w:u w:val="single"/>
            <w:rtl w:val="0"/>
          </w:rPr>
          <w:t xml:space="preserve">www.sanctionsmap.eu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88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Примітка: Пункти (1) - (3) не поширюються на придбання товарів на особливо вигідних умовах від постачальника, який безумовно ліквідує свою підприємницьку діяльність, або одержувачів чи ліквідаторів банкрутства, за домовленістю з кредиторами, або через аналогічної процедури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anctionsmap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