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669" w:type="dxa"/>
        <w:jc w:val="center"/>
        <w:tblLook w:val="04A0" w:firstRow="1" w:lastRow="0" w:firstColumn="1" w:lastColumn="0" w:noHBand="0" w:noVBand="1"/>
      </w:tblPr>
      <w:tblGrid>
        <w:gridCol w:w="7825"/>
        <w:gridCol w:w="1844"/>
      </w:tblGrid>
      <w:tr w:rsidR="00360FEC" w:rsidRPr="002C563A" w14:paraId="2EE9906B" w14:textId="77777777" w:rsidTr="007F21CD">
        <w:trPr>
          <w:tblHeader/>
          <w:jc w:val="center"/>
        </w:trPr>
        <w:tc>
          <w:tcPr>
            <w:tcW w:w="9669" w:type="dxa"/>
            <w:gridSpan w:val="2"/>
            <w:shd w:val="clear" w:color="auto" w:fill="D9D9D9" w:themeFill="background1" w:themeFillShade="D9"/>
            <w:vAlign w:val="center"/>
          </w:tcPr>
          <w:p w14:paraId="1F50A652" w14:textId="534EB20C" w:rsidR="00360FEC" w:rsidRDefault="00360FEC" w:rsidP="00314084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val="en-US"/>
              </w:rPr>
              <w:t>Attachment 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lang w:val="en-US"/>
              </w:rPr>
              <w:t xml:space="preserve">to </w:t>
            </w:r>
            <w:r w:rsidR="006A2C68" w:rsidRPr="006A2C68">
              <w:rPr>
                <w:rFonts w:ascii="Calibri" w:hAnsi="Calibri" w:cs="Calibri"/>
                <w:b/>
                <w:bCs/>
                <w:color w:val="000000"/>
                <w:sz w:val="22"/>
              </w:rPr>
              <w:t>RFQ-4056-2026-01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lang w:val="en-US"/>
              </w:rPr>
              <w:t>. Scope of Work</w:t>
            </w:r>
          </w:p>
          <w:p w14:paraId="386C5444" w14:textId="161135EB" w:rsidR="00360FEC" w:rsidRPr="00360FEC" w:rsidRDefault="00360FEC" w:rsidP="00314084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Додаток 1</w:t>
            </w:r>
            <w:r w:rsidR="00BC3848" w:rsidRPr="00E068FF">
              <w:rPr>
                <w:rFonts w:ascii="Calibri" w:hAnsi="Calibri" w:cs="Calibri"/>
                <w:b/>
                <w:bCs/>
                <w:color w:val="000000"/>
                <w:sz w:val="22"/>
                <w:lang w:val="ru-RU"/>
              </w:rPr>
              <w:t xml:space="preserve"> </w:t>
            </w:r>
            <w:r w:rsidR="00BC3848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до </w:t>
            </w:r>
            <w:r w:rsidR="006A2C68" w:rsidRPr="006A2C68">
              <w:rPr>
                <w:rFonts w:ascii="Calibri" w:hAnsi="Calibri" w:cs="Calibri"/>
                <w:b/>
                <w:bCs/>
                <w:color w:val="000000"/>
                <w:sz w:val="22"/>
              </w:rPr>
              <w:t>RFQ-4056-2026-01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. Обсяг робіт</w:t>
            </w:r>
          </w:p>
        </w:tc>
      </w:tr>
      <w:tr w:rsidR="00951013" w:rsidRPr="002C563A" w14:paraId="4C35ADBE" w14:textId="77777777" w:rsidTr="007F21CD">
        <w:trPr>
          <w:jc w:val="center"/>
        </w:trPr>
        <w:tc>
          <w:tcPr>
            <w:tcW w:w="9669" w:type="dxa"/>
            <w:gridSpan w:val="2"/>
            <w:shd w:val="clear" w:color="auto" w:fill="D9D9D9" w:themeFill="background1" w:themeFillShade="D9"/>
            <w:vAlign w:val="center"/>
          </w:tcPr>
          <w:p w14:paraId="06070FD4" w14:textId="324EE18C" w:rsidR="00951013" w:rsidRPr="006A2C68" w:rsidRDefault="006A2C68" w:rsidP="00314084">
            <w:pPr>
              <w:ind w:firstLine="0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A2C68">
              <w:rPr>
                <w:rFonts w:ascii="Calibri" w:hAnsi="Calibri" w:cs="Calibri"/>
                <w:b/>
                <w:bCs/>
                <w:color w:val="000000"/>
                <w:sz w:val="22"/>
                <w:lang w:val="en-US"/>
              </w:rPr>
              <w:t>Virtual</w:t>
            </w:r>
            <w:r w:rsidRPr="006A2C68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6A2C68">
              <w:rPr>
                <w:rFonts w:ascii="Calibri" w:hAnsi="Calibri" w:cs="Calibri"/>
                <w:b/>
                <w:bCs/>
                <w:color w:val="000000"/>
                <w:sz w:val="22"/>
                <w:lang w:val="en-US"/>
              </w:rPr>
              <w:t>Infrastructure</w:t>
            </w:r>
            <w:r w:rsidRPr="006A2C68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6A2C68">
              <w:rPr>
                <w:rFonts w:ascii="Calibri" w:hAnsi="Calibri" w:cs="Calibri"/>
                <w:b/>
                <w:bCs/>
                <w:color w:val="000000"/>
                <w:sz w:val="22"/>
                <w:lang w:val="en-US"/>
              </w:rPr>
              <w:t>Administration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/ </w:t>
            </w:r>
            <w:r w:rsidRPr="006A2C68">
              <w:rPr>
                <w:rFonts w:ascii="Calibri" w:hAnsi="Calibri" w:cs="Calibri"/>
                <w:b/>
                <w:bCs/>
                <w:color w:val="000000"/>
                <w:sz w:val="22"/>
              </w:rPr>
              <w:t>Адміністрування віртуальної інфраструктури</w:t>
            </w:r>
          </w:p>
        </w:tc>
      </w:tr>
      <w:tr w:rsidR="00951013" w:rsidRPr="002C563A" w14:paraId="0B85B0DA" w14:textId="77777777" w:rsidTr="00A926D2">
        <w:trPr>
          <w:jc w:val="center"/>
        </w:trPr>
        <w:tc>
          <w:tcPr>
            <w:tcW w:w="7825" w:type="dxa"/>
          </w:tcPr>
          <w:p w14:paraId="42573108" w14:textId="0BD70BFE" w:rsidR="00951013" w:rsidRPr="00471146" w:rsidRDefault="00231743" w:rsidP="00BF0CCB">
            <w:pPr>
              <w:ind w:firstLine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Administration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and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maintenance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of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virtual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machines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and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server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infrastructure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supporting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the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GoPoruch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platform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/</w:t>
            </w:r>
            <w:r w:rsidRPr="00231743">
              <w:rPr>
                <w:rFonts w:ascii="Calibri" w:hAnsi="Calibri" w:cs="Calibri"/>
                <w:color w:val="000000"/>
                <w:sz w:val="22"/>
              </w:rPr>
              <w:br/>
              <w:t xml:space="preserve">Адміністрування та обслуговування віртуальних машин і серверної інфраструктури, що забезпечує роботу платформи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GoPoruch</w:t>
            </w:r>
            <w:proofErr w:type="spellEnd"/>
          </w:p>
        </w:tc>
        <w:tc>
          <w:tcPr>
            <w:tcW w:w="1844" w:type="dxa"/>
          </w:tcPr>
          <w:p w14:paraId="5055B9C8" w14:textId="59019317" w:rsidR="00951013" w:rsidRDefault="00000000" w:rsidP="00314084">
            <w:pPr>
              <w:spacing w:before="240"/>
              <w:ind w:firstLine="0"/>
              <w:jc w:val="center"/>
              <w:rPr>
                <w:rFonts w:eastAsia="Times New Roman" w:cs="Arial"/>
                <w:color w:val="0000FF"/>
                <w:sz w:val="18"/>
                <w:szCs w:val="18"/>
                <w:lang w:eastAsia="uk-UA"/>
              </w:rPr>
            </w:pPr>
            <w:sdt>
              <w:sdtPr>
                <w:rPr>
                  <w:rFonts w:eastAsia="Times New Roman" w:cs="Arial"/>
                  <w:color w:val="0000FF"/>
                  <w:sz w:val="18"/>
                  <w:szCs w:val="18"/>
                  <w:lang w:eastAsia="uk-UA"/>
                </w:rPr>
                <w:id w:val="94628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013">
                  <w:rPr>
                    <w:rFonts w:ascii="MS Gothic" w:eastAsia="MS Gothic" w:hAnsi="MS Gothic" w:cs="Arial" w:hint="eastAsia"/>
                    <w:color w:val="0000FF"/>
                    <w:sz w:val="18"/>
                    <w:szCs w:val="18"/>
                    <w:lang w:eastAsia="uk-UA"/>
                  </w:rPr>
                  <w:t>☐</w:t>
                </w:r>
              </w:sdtContent>
            </w:sdt>
          </w:p>
        </w:tc>
      </w:tr>
      <w:tr w:rsidR="00951013" w:rsidRPr="002C563A" w14:paraId="3D0BE526" w14:textId="77777777" w:rsidTr="00A926D2">
        <w:trPr>
          <w:jc w:val="center"/>
        </w:trPr>
        <w:tc>
          <w:tcPr>
            <w:tcW w:w="7825" w:type="dxa"/>
          </w:tcPr>
          <w:p w14:paraId="22DE5CE9" w14:textId="6A91DBE8" w:rsidR="00951013" w:rsidRPr="00471146" w:rsidRDefault="00231743" w:rsidP="00BF0CCB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Monitoring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system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performance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and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stability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/</w:t>
            </w:r>
            <w:r w:rsidRPr="00231743">
              <w:rPr>
                <w:rFonts w:ascii="Calibri" w:hAnsi="Calibri" w:cs="Calibri"/>
                <w:color w:val="000000"/>
                <w:sz w:val="22"/>
              </w:rPr>
              <w:br/>
              <w:t>Моніторинг продуктивності та стабільності системи</w:t>
            </w:r>
          </w:p>
        </w:tc>
        <w:tc>
          <w:tcPr>
            <w:tcW w:w="1844" w:type="dxa"/>
          </w:tcPr>
          <w:p w14:paraId="6CC900BF" w14:textId="2C74ACE7" w:rsidR="00951013" w:rsidRDefault="00000000" w:rsidP="00314084">
            <w:pPr>
              <w:spacing w:before="240"/>
              <w:ind w:firstLine="0"/>
              <w:jc w:val="center"/>
              <w:rPr>
                <w:rFonts w:eastAsia="Times New Roman" w:cs="Arial"/>
                <w:color w:val="0000FF"/>
                <w:sz w:val="18"/>
                <w:szCs w:val="18"/>
                <w:lang w:eastAsia="uk-UA"/>
              </w:rPr>
            </w:pPr>
            <w:sdt>
              <w:sdtPr>
                <w:rPr>
                  <w:rFonts w:eastAsia="Times New Roman" w:cs="Arial"/>
                  <w:color w:val="0000FF"/>
                  <w:sz w:val="18"/>
                  <w:szCs w:val="18"/>
                  <w:lang w:eastAsia="uk-UA"/>
                </w:rPr>
                <w:id w:val="-147282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013" w:rsidRPr="00D3008F">
                  <w:rPr>
                    <w:rFonts w:ascii="Segoe UI Symbol" w:eastAsia="Times New Roman" w:hAnsi="Segoe UI Symbol" w:cs="Segoe UI Symbol"/>
                    <w:color w:val="0000FF"/>
                    <w:sz w:val="18"/>
                    <w:szCs w:val="18"/>
                    <w:lang w:eastAsia="uk-UA"/>
                  </w:rPr>
                  <w:t>☐</w:t>
                </w:r>
              </w:sdtContent>
            </w:sdt>
          </w:p>
        </w:tc>
      </w:tr>
      <w:tr w:rsidR="00951013" w:rsidRPr="002C563A" w14:paraId="47BEC276" w14:textId="77777777" w:rsidTr="00A926D2">
        <w:trPr>
          <w:trHeight w:val="544"/>
          <w:jc w:val="center"/>
        </w:trPr>
        <w:tc>
          <w:tcPr>
            <w:tcW w:w="7825" w:type="dxa"/>
          </w:tcPr>
          <w:p w14:paraId="0C62AB7D" w14:textId="32898D57" w:rsidR="00951013" w:rsidRPr="00471146" w:rsidRDefault="00231743" w:rsidP="00BF0CCB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Installation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of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operating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system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updates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,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security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patches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and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required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system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updates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/</w:t>
            </w:r>
            <w:r w:rsidRPr="00231743">
              <w:rPr>
                <w:rFonts w:ascii="Calibri" w:hAnsi="Calibri" w:cs="Calibri"/>
                <w:color w:val="000000"/>
                <w:sz w:val="22"/>
              </w:rPr>
              <w:br/>
              <w:t xml:space="preserve">Встановлення оновлень операційної системи, безпекових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патчів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та інших необхідних оновлень</w:t>
            </w:r>
          </w:p>
        </w:tc>
        <w:tc>
          <w:tcPr>
            <w:tcW w:w="1844" w:type="dxa"/>
          </w:tcPr>
          <w:p w14:paraId="4BDA36E3" w14:textId="1319E1B4" w:rsidR="00951013" w:rsidRDefault="00000000" w:rsidP="00314084">
            <w:pPr>
              <w:spacing w:before="240"/>
              <w:ind w:firstLine="0"/>
              <w:jc w:val="center"/>
              <w:rPr>
                <w:rFonts w:eastAsia="Times New Roman" w:cs="Arial"/>
                <w:color w:val="0000FF"/>
                <w:sz w:val="18"/>
                <w:szCs w:val="18"/>
                <w:lang w:eastAsia="uk-UA"/>
              </w:rPr>
            </w:pPr>
            <w:sdt>
              <w:sdtPr>
                <w:rPr>
                  <w:rFonts w:eastAsia="Times New Roman" w:cs="Arial"/>
                  <w:color w:val="0000FF"/>
                  <w:sz w:val="18"/>
                  <w:szCs w:val="18"/>
                  <w:lang w:eastAsia="uk-UA"/>
                </w:rPr>
                <w:id w:val="-187167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013">
                  <w:rPr>
                    <w:rFonts w:ascii="MS Gothic" w:eastAsia="MS Gothic" w:hAnsi="MS Gothic" w:cs="Arial" w:hint="eastAsia"/>
                    <w:color w:val="0000FF"/>
                    <w:sz w:val="18"/>
                    <w:szCs w:val="18"/>
                    <w:lang w:eastAsia="uk-UA"/>
                  </w:rPr>
                  <w:t>☐</w:t>
                </w:r>
              </w:sdtContent>
            </w:sdt>
          </w:p>
        </w:tc>
      </w:tr>
      <w:tr w:rsidR="00951013" w:rsidRPr="002C563A" w14:paraId="30F9EC56" w14:textId="77777777" w:rsidTr="00A926D2">
        <w:trPr>
          <w:jc w:val="center"/>
        </w:trPr>
        <w:tc>
          <w:tcPr>
            <w:tcW w:w="7825" w:type="dxa"/>
          </w:tcPr>
          <w:p w14:paraId="7C371463" w14:textId="1CB1E88B" w:rsidR="00951013" w:rsidRPr="00231743" w:rsidRDefault="00231743" w:rsidP="00BF0CCB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Monitoring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and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response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to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cybersecurity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incidents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including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unauthorized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access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attempts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or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system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vulnerabilities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/</w:t>
            </w:r>
            <w:r w:rsidRPr="00231743">
              <w:rPr>
                <w:rFonts w:ascii="Calibri" w:hAnsi="Calibri" w:cs="Calibri"/>
                <w:color w:val="000000"/>
                <w:sz w:val="22"/>
              </w:rPr>
              <w:br/>
              <w:t xml:space="preserve">Моніторинг та реагування на </w:t>
            </w:r>
            <w:proofErr w:type="spellStart"/>
            <w:r w:rsidRPr="00231743">
              <w:rPr>
                <w:rFonts w:ascii="Calibri" w:hAnsi="Calibri" w:cs="Calibri"/>
                <w:color w:val="000000"/>
                <w:sz w:val="22"/>
              </w:rPr>
              <w:t>кіберінциденти</w:t>
            </w:r>
            <w:proofErr w:type="spellEnd"/>
            <w:r w:rsidRPr="00231743">
              <w:rPr>
                <w:rFonts w:ascii="Calibri" w:hAnsi="Calibri" w:cs="Calibri"/>
                <w:color w:val="000000"/>
                <w:sz w:val="22"/>
              </w:rPr>
              <w:t>, включаючи спроби несанкціонованого доступу або інші вразливості системи</w:t>
            </w:r>
          </w:p>
        </w:tc>
        <w:tc>
          <w:tcPr>
            <w:tcW w:w="1844" w:type="dxa"/>
          </w:tcPr>
          <w:p w14:paraId="6C992210" w14:textId="62F46A50" w:rsidR="00951013" w:rsidRDefault="00000000" w:rsidP="00314084">
            <w:pPr>
              <w:spacing w:before="240"/>
              <w:ind w:firstLine="0"/>
              <w:jc w:val="center"/>
              <w:rPr>
                <w:rFonts w:eastAsia="Times New Roman" w:cs="Arial"/>
                <w:color w:val="0000FF"/>
                <w:sz w:val="18"/>
                <w:szCs w:val="18"/>
                <w:lang w:eastAsia="uk-UA"/>
              </w:rPr>
            </w:pPr>
            <w:sdt>
              <w:sdtPr>
                <w:rPr>
                  <w:rFonts w:eastAsia="Times New Roman" w:cs="Arial"/>
                  <w:color w:val="0000FF"/>
                  <w:sz w:val="18"/>
                  <w:szCs w:val="18"/>
                  <w:lang w:eastAsia="uk-UA"/>
                </w:rPr>
                <w:id w:val="182176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013" w:rsidRPr="00D3008F">
                  <w:rPr>
                    <w:rFonts w:ascii="Segoe UI Symbol" w:eastAsia="Times New Roman" w:hAnsi="Segoe UI Symbol" w:cs="Segoe UI Symbol"/>
                    <w:color w:val="0000FF"/>
                    <w:sz w:val="18"/>
                    <w:szCs w:val="18"/>
                    <w:lang w:eastAsia="uk-UA"/>
                  </w:rPr>
                  <w:t>☐</w:t>
                </w:r>
              </w:sdtContent>
            </w:sdt>
          </w:p>
        </w:tc>
      </w:tr>
      <w:tr w:rsidR="00951013" w:rsidRPr="002C563A" w14:paraId="532AB0F8" w14:textId="77777777" w:rsidTr="00A926D2">
        <w:trPr>
          <w:jc w:val="center"/>
        </w:trPr>
        <w:tc>
          <w:tcPr>
            <w:tcW w:w="7825" w:type="dxa"/>
          </w:tcPr>
          <w:p w14:paraId="7EEC60BA" w14:textId="1187BE19" w:rsidR="00951013" w:rsidRPr="00471146" w:rsidRDefault="00891D79" w:rsidP="002C004A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Maintenance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and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monitoring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of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backup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systems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and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restoration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of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data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when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necessary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/</w:t>
            </w:r>
            <w:r w:rsidRPr="00891D79">
              <w:rPr>
                <w:rFonts w:ascii="Calibri" w:hAnsi="Calibri" w:cs="Calibri"/>
                <w:color w:val="000000"/>
                <w:sz w:val="22"/>
              </w:rPr>
              <w:br/>
              <w:t>Підтримка та моніторинг систем резервного копіювання та відновлення даних у разі необхідності</w:t>
            </w:r>
          </w:p>
        </w:tc>
        <w:tc>
          <w:tcPr>
            <w:tcW w:w="1844" w:type="dxa"/>
          </w:tcPr>
          <w:p w14:paraId="35435B21" w14:textId="6CB1BBFC" w:rsidR="00951013" w:rsidRDefault="00000000" w:rsidP="00314084">
            <w:pPr>
              <w:spacing w:before="240"/>
              <w:ind w:firstLine="0"/>
              <w:jc w:val="center"/>
              <w:rPr>
                <w:rFonts w:eastAsia="Times New Roman" w:cs="Arial"/>
                <w:color w:val="0000FF"/>
                <w:sz w:val="18"/>
                <w:szCs w:val="18"/>
                <w:lang w:eastAsia="uk-UA"/>
              </w:rPr>
            </w:pPr>
            <w:sdt>
              <w:sdtPr>
                <w:rPr>
                  <w:rFonts w:eastAsia="Times New Roman" w:cs="Arial"/>
                  <w:color w:val="0000FF"/>
                  <w:sz w:val="18"/>
                  <w:szCs w:val="18"/>
                  <w:lang w:eastAsia="uk-UA"/>
                </w:rPr>
                <w:id w:val="-139373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013">
                  <w:rPr>
                    <w:rFonts w:ascii="MS Gothic" w:eastAsia="MS Gothic" w:hAnsi="MS Gothic" w:cs="Arial" w:hint="eastAsia"/>
                    <w:color w:val="0000FF"/>
                    <w:sz w:val="18"/>
                    <w:szCs w:val="18"/>
                    <w:lang w:eastAsia="uk-UA"/>
                  </w:rPr>
                  <w:t>☐</w:t>
                </w:r>
              </w:sdtContent>
            </w:sdt>
          </w:p>
        </w:tc>
      </w:tr>
      <w:tr w:rsidR="00951013" w:rsidRPr="002C563A" w14:paraId="6B602607" w14:textId="77777777" w:rsidTr="00A926D2">
        <w:trPr>
          <w:jc w:val="center"/>
        </w:trPr>
        <w:tc>
          <w:tcPr>
            <w:tcW w:w="7825" w:type="dxa"/>
          </w:tcPr>
          <w:p w14:paraId="7D543DF0" w14:textId="2E3754A9" w:rsidR="00951013" w:rsidRPr="008C03D1" w:rsidRDefault="00891D79" w:rsidP="002C004A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Administration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and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renewal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of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two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domain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names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in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the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Pr="00891D79">
              <w:rPr>
                <w:rFonts w:ascii="Calibri" w:hAnsi="Calibri" w:cs="Calibri"/>
                <w:b/>
                <w:bCs/>
                <w:color w:val="000000"/>
                <w:sz w:val="22"/>
              </w:rPr>
              <w:t>org.ua</w:t>
            </w:r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zone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(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test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and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production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="Calibri" w:hAnsi="Calibri" w:cs="Calibri"/>
                <w:color w:val="000000"/>
                <w:sz w:val="22"/>
              </w:rPr>
              <w:t>environments</w:t>
            </w:r>
            <w:proofErr w:type="spellEnd"/>
            <w:r w:rsidRPr="00891D79">
              <w:rPr>
                <w:rFonts w:ascii="Calibri" w:hAnsi="Calibri" w:cs="Calibri"/>
                <w:color w:val="000000"/>
                <w:sz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/</w:t>
            </w:r>
            <w:r w:rsidRPr="00891D79">
              <w:rPr>
                <w:rFonts w:ascii="Calibri" w:hAnsi="Calibri" w:cs="Calibri"/>
                <w:color w:val="000000"/>
                <w:sz w:val="22"/>
              </w:rPr>
              <w:br/>
              <w:t xml:space="preserve">Адміністрування та продовження дії двох доменних імен у зоні </w:t>
            </w:r>
            <w:r w:rsidRPr="00891D79">
              <w:rPr>
                <w:rFonts w:ascii="Calibri" w:hAnsi="Calibri" w:cs="Calibri"/>
                <w:b/>
                <w:bCs/>
                <w:color w:val="000000"/>
                <w:sz w:val="22"/>
              </w:rPr>
              <w:t>org.ua</w:t>
            </w:r>
            <w:r w:rsidRPr="00891D79">
              <w:rPr>
                <w:rFonts w:ascii="Calibri" w:hAnsi="Calibri" w:cs="Calibri"/>
                <w:color w:val="000000"/>
                <w:sz w:val="22"/>
              </w:rPr>
              <w:t xml:space="preserve"> (тестове та продуктивне середовище)</w:t>
            </w:r>
          </w:p>
        </w:tc>
        <w:tc>
          <w:tcPr>
            <w:tcW w:w="1844" w:type="dxa"/>
          </w:tcPr>
          <w:p w14:paraId="23D90891" w14:textId="01505875" w:rsidR="00951013" w:rsidRDefault="00000000" w:rsidP="00314084">
            <w:pPr>
              <w:spacing w:before="240"/>
              <w:ind w:firstLine="0"/>
              <w:jc w:val="center"/>
              <w:rPr>
                <w:rFonts w:eastAsia="Times New Roman" w:cs="Arial"/>
                <w:color w:val="0000FF"/>
                <w:sz w:val="18"/>
                <w:szCs w:val="18"/>
                <w:lang w:eastAsia="uk-UA"/>
              </w:rPr>
            </w:pPr>
            <w:sdt>
              <w:sdtPr>
                <w:rPr>
                  <w:rFonts w:eastAsia="Times New Roman" w:cs="Arial"/>
                  <w:color w:val="0000FF"/>
                  <w:sz w:val="18"/>
                  <w:szCs w:val="18"/>
                  <w:lang w:eastAsia="uk-UA"/>
                </w:rPr>
                <w:id w:val="122348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FEC">
                  <w:rPr>
                    <w:rFonts w:ascii="MS Gothic" w:eastAsia="MS Gothic" w:hAnsi="MS Gothic" w:cs="Arial" w:hint="eastAsia"/>
                    <w:color w:val="0000FF"/>
                    <w:sz w:val="18"/>
                    <w:szCs w:val="18"/>
                    <w:lang w:eastAsia="uk-UA"/>
                  </w:rPr>
                  <w:t>☐</w:t>
                </w:r>
              </w:sdtContent>
            </w:sdt>
          </w:p>
        </w:tc>
      </w:tr>
      <w:tr w:rsidR="0009310F" w:rsidRPr="002C563A" w14:paraId="6D889181" w14:textId="77777777" w:rsidTr="00A926D2">
        <w:trPr>
          <w:jc w:val="center"/>
        </w:trPr>
        <w:tc>
          <w:tcPr>
            <w:tcW w:w="7825" w:type="dxa"/>
          </w:tcPr>
          <w:p w14:paraId="385E2BE9" w14:textId="323862FF" w:rsidR="0009310F" w:rsidRPr="00891D79" w:rsidRDefault="00891D79" w:rsidP="0009310F">
            <w:pPr>
              <w:ind w:firstLine="0"/>
              <w:rPr>
                <w:rFonts w:asciiTheme="minorHAnsi" w:hAnsiTheme="minorHAnsi" w:cstheme="minorHAnsi"/>
                <w:color w:val="000000"/>
                <w:sz w:val="22"/>
              </w:rPr>
            </w:pPr>
            <w:proofErr w:type="spellStart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>Administration</w:t>
            </w:r>
            <w:proofErr w:type="spellEnd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>and</w:t>
            </w:r>
            <w:proofErr w:type="spellEnd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>renewal</w:t>
            </w:r>
            <w:proofErr w:type="spellEnd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>of</w:t>
            </w:r>
            <w:proofErr w:type="spellEnd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SSL </w:t>
            </w:r>
            <w:proofErr w:type="spellStart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Wildcard</w:t>
            </w:r>
            <w:proofErr w:type="spellEnd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certificates</w:t>
            </w:r>
            <w:proofErr w:type="spellEnd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>for</w:t>
            </w:r>
            <w:proofErr w:type="spellEnd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>both</w:t>
            </w:r>
            <w:proofErr w:type="spellEnd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>environments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/</w:t>
            </w:r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br/>
              <w:t xml:space="preserve">Адміністрування та продовження дії </w:t>
            </w:r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SSL </w:t>
            </w:r>
            <w:proofErr w:type="spellStart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Wildcard</w:t>
            </w:r>
            <w:proofErr w:type="spellEnd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сертифікатів</w:t>
            </w:r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 xml:space="preserve"> для обох середовищ</w:t>
            </w:r>
          </w:p>
        </w:tc>
        <w:tc>
          <w:tcPr>
            <w:tcW w:w="1844" w:type="dxa"/>
          </w:tcPr>
          <w:p w14:paraId="0FC75806" w14:textId="7E78330B" w:rsidR="0009310F" w:rsidRDefault="00000000" w:rsidP="0009310F">
            <w:pPr>
              <w:spacing w:before="240"/>
              <w:ind w:firstLine="0"/>
              <w:jc w:val="center"/>
              <w:rPr>
                <w:rFonts w:eastAsia="Times New Roman" w:cs="Arial"/>
                <w:color w:val="0000FF"/>
                <w:sz w:val="18"/>
                <w:szCs w:val="18"/>
                <w:lang w:eastAsia="uk-UA"/>
              </w:rPr>
            </w:pPr>
            <w:sdt>
              <w:sdtPr>
                <w:rPr>
                  <w:rFonts w:eastAsia="Times New Roman" w:cs="Arial"/>
                  <w:color w:val="0000FF"/>
                  <w:sz w:val="18"/>
                  <w:szCs w:val="18"/>
                  <w:lang w:eastAsia="uk-UA"/>
                </w:rPr>
                <w:id w:val="-42496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FEC">
                  <w:rPr>
                    <w:rFonts w:ascii="MS Gothic" w:eastAsia="MS Gothic" w:hAnsi="MS Gothic" w:cs="Arial" w:hint="eastAsia"/>
                    <w:color w:val="0000FF"/>
                    <w:sz w:val="18"/>
                    <w:szCs w:val="18"/>
                    <w:lang w:eastAsia="uk-UA"/>
                  </w:rPr>
                  <w:t>☐</w:t>
                </w:r>
              </w:sdtContent>
            </w:sdt>
          </w:p>
        </w:tc>
      </w:tr>
      <w:tr w:rsidR="0009310F" w:rsidRPr="002C563A" w14:paraId="42D19F06" w14:textId="77777777" w:rsidTr="00A926D2">
        <w:trPr>
          <w:jc w:val="center"/>
        </w:trPr>
        <w:tc>
          <w:tcPr>
            <w:tcW w:w="7825" w:type="dxa"/>
          </w:tcPr>
          <w:p w14:paraId="077BBDBB" w14:textId="4390A0AA" w:rsidR="0009310F" w:rsidRPr="00891D79" w:rsidRDefault="00891D79" w:rsidP="0009310F">
            <w:pPr>
              <w:ind w:firstLine="0"/>
              <w:rPr>
                <w:rFonts w:asciiTheme="minorHAnsi" w:hAnsiTheme="minorHAnsi" w:cstheme="minorHAnsi"/>
                <w:color w:val="000000"/>
                <w:sz w:val="22"/>
              </w:rPr>
            </w:pPr>
            <w:proofErr w:type="spellStart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>Maintenance</w:t>
            </w:r>
            <w:proofErr w:type="spellEnd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>of</w:t>
            </w:r>
            <w:proofErr w:type="spellEnd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>server</w:t>
            </w:r>
            <w:proofErr w:type="spellEnd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>software</w:t>
            </w:r>
            <w:proofErr w:type="spellEnd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>environment</w:t>
            </w:r>
            <w:proofErr w:type="spellEnd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>including</w:t>
            </w:r>
            <w:proofErr w:type="spellEnd"/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cPanel</w:t>
            </w:r>
            <w:proofErr w:type="spellEnd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licenses</w:t>
            </w:r>
            <w:proofErr w:type="spellEnd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, </w:t>
            </w:r>
            <w:proofErr w:type="spellStart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Apache</w:t>
            </w:r>
            <w:proofErr w:type="spellEnd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/</w:t>
            </w:r>
            <w:proofErr w:type="spellStart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Nginx</w:t>
            </w:r>
            <w:proofErr w:type="spellEnd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, PHP, </w:t>
            </w:r>
            <w:proofErr w:type="spellStart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MySQL</w:t>
            </w:r>
            <w:proofErr w:type="spellEnd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and</w:t>
            </w:r>
            <w:proofErr w:type="spellEnd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DNS </w:t>
            </w:r>
            <w:proofErr w:type="spellStart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configuration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/</w:t>
            </w:r>
            <w:r w:rsidRPr="00891D79">
              <w:rPr>
                <w:rFonts w:asciiTheme="minorHAnsi" w:hAnsiTheme="minorHAnsi" w:cstheme="minorHAnsi"/>
                <w:color w:val="000000"/>
                <w:sz w:val="22"/>
              </w:rPr>
              <w:br/>
              <w:t xml:space="preserve">Підтримка серверного програмного середовища, включаючи </w:t>
            </w:r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ліцензії </w:t>
            </w:r>
            <w:proofErr w:type="spellStart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cPanel</w:t>
            </w:r>
            <w:proofErr w:type="spellEnd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, </w:t>
            </w:r>
            <w:proofErr w:type="spellStart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Apache</w:t>
            </w:r>
            <w:proofErr w:type="spellEnd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/</w:t>
            </w:r>
            <w:proofErr w:type="spellStart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Nginx</w:t>
            </w:r>
            <w:proofErr w:type="spellEnd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, PHP, </w:t>
            </w:r>
            <w:proofErr w:type="spellStart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MySQL</w:t>
            </w:r>
            <w:proofErr w:type="spellEnd"/>
            <w:r w:rsidRPr="00891D7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та DNS-конфігурації</w:t>
            </w:r>
          </w:p>
        </w:tc>
        <w:tc>
          <w:tcPr>
            <w:tcW w:w="1844" w:type="dxa"/>
          </w:tcPr>
          <w:p w14:paraId="312A6781" w14:textId="280BBDBE" w:rsidR="0009310F" w:rsidRDefault="00000000" w:rsidP="0009310F">
            <w:pPr>
              <w:spacing w:before="240"/>
              <w:ind w:firstLine="0"/>
              <w:jc w:val="center"/>
              <w:rPr>
                <w:rFonts w:eastAsia="Times New Roman" w:cs="Arial"/>
                <w:color w:val="0000FF"/>
                <w:sz w:val="18"/>
                <w:szCs w:val="18"/>
                <w:lang w:eastAsia="uk-UA"/>
              </w:rPr>
            </w:pPr>
            <w:sdt>
              <w:sdtPr>
                <w:rPr>
                  <w:rFonts w:eastAsia="Times New Roman" w:cs="Arial"/>
                  <w:color w:val="0000FF"/>
                  <w:sz w:val="18"/>
                  <w:szCs w:val="18"/>
                  <w:lang w:eastAsia="uk-UA"/>
                </w:rPr>
                <w:id w:val="-92973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FEC">
                  <w:rPr>
                    <w:rFonts w:ascii="MS Gothic" w:eastAsia="MS Gothic" w:hAnsi="MS Gothic" w:cs="Arial" w:hint="eastAsia"/>
                    <w:color w:val="0000FF"/>
                    <w:sz w:val="18"/>
                    <w:szCs w:val="18"/>
                    <w:lang w:eastAsia="uk-UA"/>
                  </w:rPr>
                  <w:t>☐</w:t>
                </w:r>
              </w:sdtContent>
            </w:sdt>
          </w:p>
        </w:tc>
      </w:tr>
      <w:tr w:rsidR="0009310F" w:rsidRPr="002C563A" w14:paraId="66FBFF26" w14:textId="77777777" w:rsidTr="00A926D2">
        <w:trPr>
          <w:jc w:val="center"/>
        </w:trPr>
        <w:tc>
          <w:tcPr>
            <w:tcW w:w="7825" w:type="dxa"/>
          </w:tcPr>
          <w:p w14:paraId="6DE01A82" w14:textId="4F6ED0C4" w:rsidR="0009310F" w:rsidRPr="00364CC7" w:rsidRDefault="007E719A" w:rsidP="0009310F">
            <w:pPr>
              <w:ind w:firstLine="0"/>
              <w:rPr>
                <w:rFonts w:asciiTheme="minorHAnsi" w:hAnsiTheme="minorHAnsi" w:cstheme="minorHAnsi"/>
                <w:color w:val="000000"/>
                <w:sz w:val="22"/>
              </w:rPr>
            </w:pP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Ensuring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stable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and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secure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operation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of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the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hosting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environment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supporting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the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GoPoruch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platform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/ </w:t>
            </w:r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br/>
              <w:t xml:space="preserve">Забезпечення стабільної та безпечної роботи серверного середовища, яке підтримує функціонування платформи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GoPoruch</w:t>
            </w:r>
            <w:proofErr w:type="spellEnd"/>
          </w:p>
        </w:tc>
        <w:tc>
          <w:tcPr>
            <w:tcW w:w="1844" w:type="dxa"/>
          </w:tcPr>
          <w:p w14:paraId="4965F1D9" w14:textId="27B4E567" w:rsidR="0009310F" w:rsidRDefault="00000000" w:rsidP="0009310F">
            <w:pPr>
              <w:spacing w:before="240"/>
              <w:ind w:firstLine="0"/>
              <w:jc w:val="center"/>
              <w:rPr>
                <w:rFonts w:eastAsia="Times New Roman" w:cs="Arial"/>
                <w:color w:val="0000FF"/>
                <w:sz w:val="18"/>
                <w:szCs w:val="18"/>
                <w:lang w:eastAsia="uk-UA"/>
              </w:rPr>
            </w:pPr>
            <w:sdt>
              <w:sdtPr>
                <w:rPr>
                  <w:rFonts w:eastAsia="Times New Roman" w:cs="Arial"/>
                  <w:color w:val="0000FF"/>
                  <w:sz w:val="18"/>
                  <w:szCs w:val="18"/>
                  <w:lang w:eastAsia="uk-UA"/>
                </w:rPr>
                <w:id w:val="-88988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FEC">
                  <w:rPr>
                    <w:rFonts w:ascii="MS Gothic" w:eastAsia="MS Gothic" w:hAnsi="MS Gothic" w:cs="Arial" w:hint="eastAsia"/>
                    <w:color w:val="0000FF"/>
                    <w:sz w:val="18"/>
                    <w:szCs w:val="18"/>
                    <w:lang w:eastAsia="uk-UA"/>
                  </w:rPr>
                  <w:t>☐</w:t>
                </w:r>
              </w:sdtContent>
            </w:sdt>
          </w:p>
        </w:tc>
      </w:tr>
      <w:tr w:rsidR="0009310F" w:rsidRPr="002C563A" w14:paraId="06B1D0CF" w14:textId="77777777" w:rsidTr="00A926D2">
        <w:trPr>
          <w:jc w:val="center"/>
        </w:trPr>
        <w:tc>
          <w:tcPr>
            <w:tcW w:w="7825" w:type="dxa"/>
          </w:tcPr>
          <w:p w14:paraId="517CAAC1" w14:textId="002F24B7" w:rsidR="0009310F" w:rsidRPr="007E719A" w:rsidRDefault="007E719A" w:rsidP="00360FEC">
            <w:pPr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Provision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of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additional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technical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support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hours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upon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request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of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the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project</w:t>
            </w:r>
            <w:proofErr w:type="spellEnd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t>team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/</w:t>
            </w:r>
            <w:r w:rsidRPr="007E719A">
              <w:rPr>
                <w:rFonts w:asciiTheme="minorHAnsi" w:hAnsiTheme="minorHAnsi" w:cstheme="minorHAnsi"/>
                <w:color w:val="000000"/>
                <w:sz w:val="22"/>
              </w:rPr>
              <w:br/>
              <w:t>Надання додаткових годин технічної підтримки за запитом команди проєкту</w:t>
            </w:r>
            <w:r w:rsidR="0009310F" w:rsidRPr="00364CC7">
              <w:rPr>
                <w:rFonts w:asciiTheme="minorHAnsi" w:hAnsiTheme="minorHAnsi" w:cstheme="minorHAnsi"/>
                <w:color w:val="000000"/>
                <w:sz w:val="22"/>
              </w:rPr>
              <w:br/>
            </w:r>
          </w:p>
        </w:tc>
        <w:tc>
          <w:tcPr>
            <w:tcW w:w="1844" w:type="dxa"/>
          </w:tcPr>
          <w:p w14:paraId="36AF85EE" w14:textId="67435B83" w:rsidR="0009310F" w:rsidRDefault="00000000" w:rsidP="0009310F">
            <w:pPr>
              <w:spacing w:before="240"/>
              <w:ind w:firstLine="0"/>
              <w:jc w:val="center"/>
              <w:rPr>
                <w:rFonts w:eastAsia="Times New Roman" w:cs="Arial"/>
                <w:color w:val="0000FF"/>
                <w:sz w:val="18"/>
                <w:szCs w:val="18"/>
                <w:lang w:eastAsia="uk-UA"/>
              </w:rPr>
            </w:pPr>
            <w:sdt>
              <w:sdtPr>
                <w:rPr>
                  <w:rFonts w:eastAsia="Times New Roman" w:cs="Arial"/>
                  <w:color w:val="0000FF"/>
                  <w:sz w:val="18"/>
                  <w:szCs w:val="18"/>
                  <w:lang w:eastAsia="uk-UA"/>
                </w:rPr>
                <w:id w:val="61610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FEC">
                  <w:rPr>
                    <w:rFonts w:ascii="MS Gothic" w:eastAsia="MS Gothic" w:hAnsi="MS Gothic" w:cs="Arial" w:hint="eastAsia"/>
                    <w:color w:val="0000FF"/>
                    <w:sz w:val="18"/>
                    <w:szCs w:val="18"/>
                    <w:lang w:eastAsia="uk-UA"/>
                  </w:rPr>
                  <w:t>☐</w:t>
                </w:r>
              </w:sdtContent>
            </w:sdt>
          </w:p>
        </w:tc>
      </w:tr>
      <w:tr w:rsidR="00951013" w:rsidRPr="002C563A" w14:paraId="775EA67D" w14:textId="77777777" w:rsidTr="00A926D2">
        <w:trPr>
          <w:jc w:val="center"/>
        </w:trPr>
        <w:tc>
          <w:tcPr>
            <w:tcW w:w="7825" w:type="dxa"/>
          </w:tcPr>
          <w:p w14:paraId="1C7DD078" w14:textId="2DCA5A6E" w:rsidR="00951013" w:rsidRPr="00471146" w:rsidRDefault="007E719A" w:rsidP="00E2167D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7E719A">
              <w:rPr>
                <w:rFonts w:ascii="Calibri" w:hAnsi="Calibri" w:cs="Calibri"/>
                <w:color w:val="000000"/>
                <w:sz w:val="22"/>
              </w:rPr>
              <w:t>Provision</w:t>
            </w:r>
            <w:proofErr w:type="spellEnd"/>
            <w:r w:rsidRPr="007E719A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="Calibri" w:hAnsi="Calibri" w:cs="Calibri"/>
                <w:color w:val="000000"/>
                <w:sz w:val="22"/>
              </w:rPr>
              <w:t>of</w:t>
            </w:r>
            <w:proofErr w:type="spellEnd"/>
            <w:r w:rsidRPr="007E719A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="Calibri" w:hAnsi="Calibri" w:cs="Calibri"/>
                <w:color w:val="000000"/>
                <w:sz w:val="22"/>
              </w:rPr>
              <w:t>initial</w:t>
            </w:r>
            <w:proofErr w:type="spellEnd"/>
            <w:r w:rsidRPr="007E719A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="Calibri" w:hAnsi="Calibri" w:cs="Calibri"/>
                <w:color w:val="000000"/>
                <w:sz w:val="22"/>
              </w:rPr>
              <w:t>configuration</w:t>
            </w:r>
            <w:proofErr w:type="spellEnd"/>
            <w:r w:rsidRPr="007E719A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="Calibri" w:hAnsi="Calibri" w:cs="Calibri"/>
                <w:color w:val="000000"/>
                <w:sz w:val="22"/>
              </w:rPr>
              <w:t>or</w:t>
            </w:r>
            <w:proofErr w:type="spellEnd"/>
            <w:r w:rsidRPr="007E719A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="Calibri" w:hAnsi="Calibri" w:cs="Calibri"/>
                <w:color w:val="000000"/>
                <w:sz w:val="22"/>
              </w:rPr>
              <w:t>infrastructure</w:t>
            </w:r>
            <w:proofErr w:type="spellEnd"/>
            <w:r w:rsidRPr="007E719A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="Calibri" w:hAnsi="Calibri" w:cs="Calibri"/>
                <w:color w:val="000000"/>
                <w:sz w:val="22"/>
              </w:rPr>
              <w:t>adjustments</w:t>
            </w:r>
            <w:proofErr w:type="spellEnd"/>
            <w:r w:rsidRPr="007E719A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="Calibri" w:hAnsi="Calibri" w:cs="Calibri"/>
                <w:color w:val="000000"/>
                <w:sz w:val="22"/>
              </w:rPr>
              <w:t>when</w:t>
            </w:r>
            <w:proofErr w:type="spellEnd"/>
            <w:r w:rsidRPr="007E719A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7E719A">
              <w:rPr>
                <w:rFonts w:ascii="Calibri" w:hAnsi="Calibri" w:cs="Calibri"/>
                <w:color w:val="000000"/>
                <w:sz w:val="22"/>
              </w:rPr>
              <w:t>required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/</w:t>
            </w:r>
            <w:r w:rsidRPr="007E719A">
              <w:rPr>
                <w:rFonts w:ascii="Calibri" w:hAnsi="Calibri" w:cs="Calibri"/>
                <w:color w:val="000000"/>
                <w:sz w:val="22"/>
              </w:rPr>
              <w:br/>
              <w:t>Виконання початкових налаштувань або змін інфраструктури у разі необхідності</w:t>
            </w:r>
          </w:p>
        </w:tc>
        <w:tc>
          <w:tcPr>
            <w:tcW w:w="1844" w:type="dxa"/>
          </w:tcPr>
          <w:p w14:paraId="3E31B2D2" w14:textId="622D0D85" w:rsidR="00951013" w:rsidRDefault="00000000" w:rsidP="00E2167D">
            <w:pPr>
              <w:spacing w:before="240"/>
              <w:ind w:firstLine="0"/>
              <w:jc w:val="center"/>
              <w:rPr>
                <w:rFonts w:eastAsia="Times New Roman" w:cs="Arial"/>
                <w:color w:val="0000FF"/>
                <w:sz w:val="18"/>
                <w:szCs w:val="18"/>
                <w:lang w:eastAsia="uk-UA"/>
              </w:rPr>
            </w:pPr>
            <w:sdt>
              <w:sdtPr>
                <w:rPr>
                  <w:rFonts w:eastAsia="Times New Roman" w:cs="Arial"/>
                  <w:color w:val="0000FF"/>
                  <w:sz w:val="18"/>
                  <w:szCs w:val="18"/>
                  <w:lang w:eastAsia="uk-UA"/>
                </w:rPr>
                <w:id w:val="-76229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013" w:rsidRPr="00D3008F">
                  <w:rPr>
                    <w:rFonts w:ascii="Segoe UI Symbol" w:eastAsia="Times New Roman" w:hAnsi="Segoe UI Symbol" w:cs="Segoe UI Symbol"/>
                    <w:color w:val="0000FF"/>
                    <w:sz w:val="18"/>
                    <w:szCs w:val="18"/>
                    <w:lang w:eastAsia="uk-UA"/>
                  </w:rPr>
                  <w:t>☐</w:t>
                </w:r>
              </w:sdtContent>
            </w:sdt>
          </w:p>
        </w:tc>
      </w:tr>
      <w:tr w:rsidR="00951013" w:rsidRPr="002C563A" w14:paraId="14DA7C2B" w14:textId="77777777" w:rsidTr="00A926D2">
        <w:trPr>
          <w:jc w:val="center"/>
        </w:trPr>
        <w:tc>
          <w:tcPr>
            <w:tcW w:w="7825" w:type="dxa"/>
            <w:vAlign w:val="center"/>
          </w:tcPr>
          <w:p w14:paraId="0C7783C8" w14:textId="22C2F0A4" w:rsidR="00951013" w:rsidRPr="00471146" w:rsidRDefault="00F43E01" w:rsidP="00E2167D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Migration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of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the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existing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GoPoruch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platform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infrastructure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to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the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vendor’s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environment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(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if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required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/</w:t>
            </w:r>
            <w:r w:rsidRPr="00F43E01">
              <w:rPr>
                <w:rFonts w:ascii="Calibri" w:hAnsi="Calibri" w:cs="Calibri"/>
                <w:color w:val="000000"/>
                <w:sz w:val="22"/>
              </w:rPr>
              <w:br/>
              <w:t xml:space="preserve">Міграція існуючої інфраструктури платформи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GoPoruch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до середовища постачальника (за необхідності)</w:t>
            </w:r>
          </w:p>
        </w:tc>
        <w:tc>
          <w:tcPr>
            <w:tcW w:w="1844" w:type="dxa"/>
          </w:tcPr>
          <w:p w14:paraId="6D4E91E0" w14:textId="62FC1B27" w:rsidR="00951013" w:rsidRDefault="00000000" w:rsidP="00E2167D">
            <w:pPr>
              <w:spacing w:before="240"/>
              <w:ind w:firstLine="0"/>
              <w:jc w:val="center"/>
              <w:rPr>
                <w:rFonts w:eastAsia="Times New Roman" w:cs="Arial"/>
                <w:color w:val="0000FF"/>
                <w:sz w:val="18"/>
                <w:szCs w:val="18"/>
                <w:lang w:eastAsia="uk-UA"/>
              </w:rPr>
            </w:pPr>
            <w:sdt>
              <w:sdtPr>
                <w:rPr>
                  <w:rFonts w:eastAsia="Times New Roman" w:cs="Arial"/>
                  <w:color w:val="0000FF"/>
                  <w:sz w:val="18"/>
                  <w:szCs w:val="18"/>
                  <w:lang w:eastAsia="uk-UA"/>
                </w:rPr>
                <w:id w:val="188351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013" w:rsidRPr="00D3008F">
                  <w:rPr>
                    <w:rFonts w:ascii="Segoe UI Symbol" w:eastAsia="Times New Roman" w:hAnsi="Segoe UI Symbol" w:cs="Segoe UI Symbol"/>
                    <w:color w:val="0000FF"/>
                    <w:sz w:val="18"/>
                    <w:szCs w:val="18"/>
                    <w:lang w:eastAsia="uk-UA"/>
                  </w:rPr>
                  <w:t>☐</w:t>
                </w:r>
              </w:sdtContent>
            </w:sdt>
          </w:p>
        </w:tc>
      </w:tr>
      <w:tr w:rsidR="00951013" w:rsidRPr="002C563A" w14:paraId="0BB6903A" w14:textId="77777777" w:rsidTr="00F43E01">
        <w:trPr>
          <w:trHeight w:val="1259"/>
          <w:jc w:val="center"/>
        </w:trPr>
        <w:tc>
          <w:tcPr>
            <w:tcW w:w="7825" w:type="dxa"/>
            <w:vAlign w:val="center"/>
          </w:tcPr>
          <w:p w14:paraId="76568FD0" w14:textId="57DADA53" w:rsidR="00951013" w:rsidRPr="00471146" w:rsidRDefault="00F43E01" w:rsidP="00E2167D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Preparation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and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implementation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of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migration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plan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including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transfer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of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data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,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configuration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and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system</w:t>
            </w:r>
            <w:proofErr w:type="spellEnd"/>
            <w:r w:rsidRPr="00F43E0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F43E01">
              <w:rPr>
                <w:rFonts w:ascii="Calibri" w:hAnsi="Calibri" w:cs="Calibri"/>
                <w:color w:val="000000"/>
                <w:sz w:val="22"/>
              </w:rPr>
              <w:t>components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/</w:t>
            </w:r>
            <w:r w:rsidRPr="00F43E01">
              <w:rPr>
                <w:rFonts w:ascii="Calibri" w:hAnsi="Calibri" w:cs="Calibri"/>
                <w:color w:val="000000"/>
                <w:sz w:val="22"/>
              </w:rPr>
              <w:br/>
              <w:t>Підготовка та реалізація плану міграції, включаючи перенесення даних, конфігурацій та системних компонентів</w:t>
            </w:r>
          </w:p>
        </w:tc>
        <w:tc>
          <w:tcPr>
            <w:tcW w:w="1844" w:type="dxa"/>
          </w:tcPr>
          <w:p w14:paraId="390ED44B" w14:textId="42CB2135" w:rsidR="00951013" w:rsidRDefault="00000000" w:rsidP="00E2167D">
            <w:pPr>
              <w:spacing w:before="240"/>
              <w:ind w:firstLine="0"/>
              <w:jc w:val="center"/>
              <w:rPr>
                <w:rFonts w:eastAsia="Times New Roman" w:cs="Arial"/>
                <w:color w:val="0000FF"/>
                <w:sz w:val="18"/>
                <w:szCs w:val="18"/>
                <w:lang w:eastAsia="uk-UA"/>
              </w:rPr>
            </w:pPr>
            <w:sdt>
              <w:sdtPr>
                <w:rPr>
                  <w:rFonts w:eastAsia="Times New Roman" w:cs="Arial"/>
                  <w:color w:val="0000FF"/>
                  <w:sz w:val="18"/>
                  <w:szCs w:val="18"/>
                  <w:lang w:eastAsia="uk-UA"/>
                </w:rPr>
                <w:id w:val="-164164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013">
                  <w:rPr>
                    <w:rFonts w:ascii="MS Gothic" w:eastAsia="MS Gothic" w:hAnsi="MS Gothic" w:cs="Arial" w:hint="eastAsia"/>
                    <w:color w:val="0000FF"/>
                    <w:sz w:val="18"/>
                    <w:szCs w:val="18"/>
                    <w:lang w:eastAsia="uk-UA"/>
                  </w:rPr>
                  <w:t>☐</w:t>
                </w:r>
              </w:sdtContent>
            </w:sdt>
          </w:p>
        </w:tc>
      </w:tr>
    </w:tbl>
    <w:p w14:paraId="77EBF608" w14:textId="77777777" w:rsidR="00A46FF6" w:rsidRDefault="00A46FF6" w:rsidP="005F47E2">
      <w:pPr>
        <w:ind w:firstLine="0"/>
      </w:pPr>
    </w:p>
    <w:p w14:paraId="4DCAEEBB" w14:textId="77777777" w:rsidR="00C85B81" w:rsidRDefault="00C85B81" w:rsidP="00A926D2">
      <w:pPr>
        <w:ind w:firstLine="0"/>
      </w:pPr>
    </w:p>
    <w:tbl>
      <w:tblPr>
        <w:tblW w:w="8520" w:type="dxa"/>
        <w:tblLook w:val="04A0" w:firstRow="1" w:lastRow="0" w:firstColumn="1" w:lastColumn="0" w:noHBand="0" w:noVBand="1"/>
      </w:tblPr>
      <w:tblGrid>
        <w:gridCol w:w="8520"/>
      </w:tblGrid>
      <w:tr w:rsidR="00C85B81" w:rsidRPr="00C85B81" w14:paraId="0B292994" w14:textId="77777777" w:rsidTr="00C85B81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D0442" w14:textId="5B20EE2B" w:rsidR="00C85B81" w:rsidRPr="00C85B81" w:rsidRDefault="00C85B81" w:rsidP="00C85B81">
            <w:pPr>
              <w:ind w:firstLine="0"/>
              <w:rPr>
                <w:rFonts w:ascii="Calibri" w:eastAsia="Times New Roman" w:hAnsi="Calibri" w:cs="Calibri"/>
                <w:color w:val="000000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Ім’я /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val="en-US"/>
              </w:rPr>
              <w:t>Name</w:t>
            </w:r>
          </w:p>
        </w:tc>
      </w:tr>
      <w:tr w:rsidR="00C85B81" w:rsidRPr="00C85B81" w14:paraId="45B421EE" w14:textId="77777777" w:rsidTr="00C85B81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47EE0" w14:textId="77777777" w:rsidR="00C85B81" w:rsidRPr="00C85B81" w:rsidRDefault="00C85B81" w:rsidP="00C85B81">
            <w:pPr>
              <w:ind w:firstLine="0"/>
              <w:rPr>
                <w:rFonts w:ascii="Calibri" w:eastAsia="Times New Roman" w:hAnsi="Calibri" w:cs="Calibri"/>
                <w:color w:val="000000"/>
                <w:szCs w:val="24"/>
                <w:lang w:val="en-US"/>
              </w:rPr>
            </w:pPr>
          </w:p>
        </w:tc>
      </w:tr>
      <w:tr w:rsidR="00C85B81" w:rsidRPr="00C85B81" w14:paraId="285C3372" w14:textId="77777777" w:rsidTr="00C85B81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A2724" w14:textId="77777777" w:rsidR="00C85B81" w:rsidRPr="00C85B81" w:rsidRDefault="00C85B81" w:rsidP="00C85B81">
            <w:pPr>
              <w:ind w:firstLine="0"/>
              <w:rPr>
                <w:rFonts w:ascii="Calibri" w:eastAsia="Times New Roman" w:hAnsi="Calibri" w:cs="Calibri"/>
                <w:color w:val="000000"/>
                <w:szCs w:val="24"/>
                <w:lang w:val="en-US"/>
              </w:rPr>
            </w:pPr>
          </w:p>
        </w:tc>
      </w:tr>
      <w:tr w:rsidR="00C85B81" w:rsidRPr="00C85B81" w14:paraId="679485F4" w14:textId="77777777" w:rsidTr="00C85B81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908D4" w14:textId="7CAA404E" w:rsidR="00C85B81" w:rsidRPr="00C85B81" w:rsidRDefault="00C85B81" w:rsidP="00C85B81">
            <w:pPr>
              <w:ind w:firstLine="0"/>
              <w:rPr>
                <w:rFonts w:ascii="Calibri" w:eastAsia="Times New Roman" w:hAnsi="Calibri" w:cs="Calibri"/>
                <w:color w:val="000000"/>
                <w:szCs w:val="24"/>
                <w:lang w:val="en-US"/>
              </w:rPr>
            </w:pPr>
            <w:proofErr w:type="spellStart"/>
            <w:r w:rsidRPr="00C85B81">
              <w:rPr>
                <w:rFonts w:ascii="Calibri" w:eastAsia="Times New Roman" w:hAnsi="Calibri" w:cs="Calibri"/>
                <w:color w:val="000000"/>
                <w:szCs w:val="24"/>
                <w:lang w:val="en-US"/>
              </w:rPr>
              <w:t>Підпис</w:t>
            </w:r>
            <w:proofErr w:type="spellEnd"/>
            <w:r w:rsidRPr="00C85B81">
              <w:rPr>
                <w:rFonts w:ascii="Calibri" w:eastAsia="Times New Roman" w:hAnsi="Calibri" w:cs="Calibri"/>
                <w:color w:val="000000"/>
                <w:szCs w:val="24"/>
                <w:lang w:val="en-US"/>
              </w:rPr>
              <w:t xml:space="preserve"> / Signature: ___________________________</w:t>
            </w:r>
          </w:p>
        </w:tc>
      </w:tr>
      <w:tr w:rsidR="00C85B81" w:rsidRPr="00C85B81" w14:paraId="60A176FF" w14:textId="77777777" w:rsidTr="00C85B81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2CBED3" w14:textId="77777777" w:rsidR="00C85B81" w:rsidRPr="00C85B81" w:rsidRDefault="00C85B81" w:rsidP="00C85B81">
            <w:pPr>
              <w:ind w:firstLine="0"/>
              <w:rPr>
                <w:rFonts w:ascii="Calibri" w:eastAsia="Times New Roman" w:hAnsi="Calibri" w:cs="Calibri"/>
                <w:color w:val="000000"/>
                <w:szCs w:val="24"/>
                <w:lang w:val="en-US"/>
              </w:rPr>
            </w:pPr>
          </w:p>
        </w:tc>
      </w:tr>
      <w:tr w:rsidR="00C85B81" w:rsidRPr="00C85B81" w14:paraId="318486BD" w14:textId="77777777" w:rsidTr="00C85B81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F0661" w14:textId="77777777" w:rsidR="00C85B81" w:rsidRPr="00C85B81" w:rsidRDefault="00C85B81" w:rsidP="00C85B8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US"/>
              </w:rPr>
            </w:pPr>
            <w:proofErr w:type="spellStart"/>
            <w:r w:rsidRPr="00C85B81">
              <w:rPr>
                <w:rFonts w:ascii="Calibri" w:eastAsia="Times New Roman" w:hAnsi="Calibri" w:cs="Calibri"/>
                <w:color w:val="000000"/>
                <w:szCs w:val="24"/>
                <w:lang w:val="en-US"/>
              </w:rPr>
              <w:t>м.п</w:t>
            </w:r>
            <w:proofErr w:type="spellEnd"/>
            <w:r w:rsidRPr="00C85B81">
              <w:rPr>
                <w:rFonts w:ascii="Calibri" w:eastAsia="Times New Roman" w:hAnsi="Calibri" w:cs="Calibri"/>
                <w:color w:val="000000"/>
                <w:szCs w:val="24"/>
                <w:lang w:val="en-US"/>
              </w:rPr>
              <w:t>.</w:t>
            </w:r>
          </w:p>
        </w:tc>
      </w:tr>
      <w:tr w:rsidR="00C85B81" w:rsidRPr="00C85B81" w14:paraId="45FD24AA" w14:textId="77777777" w:rsidTr="00C85B81">
        <w:trPr>
          <w:trHeight w:val="3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1CFC9" w14:textId="77777777" w:rsidR="00C85B81" w:rsidRPr="00C85B81" w:rsidRDefault="00C85B81" w:rsidP="00C85B81">
            <w:pPr>
              <w:ind w:firstLine="0"/>
              <w:rPr>
                <w:rFonts w:ascii="Calibri" w:eastAsia="Times New Roman" w:hAnsi="Calibri" w:cs="Calibri"/>
                <w:color w:val="000000"/>
                <w:szCs w:val="24"/>
                <w:lang w:val="en-US"/>
              </w:rPr>
            </w:pPr>
            <w:proofErr w:type="spellStart"/>
            <w:r w:rsidRPr="00C85B81">
              <w:rPr>
                <w:rFonts w:ascii="Calibri" w:eastAsia="Times New Roman" w:hAnsi="Calibri" w:cs="Calibri"/>
                <w:color w:val="000000"/>
                <w:szCs w:val="24"/>
                <w:lang w:val="en-US"/>
              </w:rPr>
              <w:t>Дата</w:t>
            </w:r>
            <w:proofErr w:type="spellEnd"/>
            <w:r w:rsidRPr="00C85B81">
              <w:rPr>
                <w:rFonts w:ascii="Calibri" w:eastAsia="Times New Roman" w:hAnsi="Calibri" w:cs="Calibri"/>
                <w:color w:val="000000"/>
                <w:szCs w:val="24"/>
                <w:lang w:val="en-US"/>
              </w:rPr>
              <w:t xml:space="preserve"> / Date: ____________________________</w:t>
            </w:r>
          </w:p>
        </w:tc>
      </w:tr>
    </w:tbl>
    <w:p w14:paraId="04EB7ECB" w14:textId="77777777" w:rsidR="00C85B81" w:rsidRPr="00A46FF6" w:rsidRDefault="00C85B81" w:rsidP="00A926D2">
      <w:pPr>
        <w:ind w:firstLine="0"/>
      </w:pPr>
    </w:p>
    <w:sectPr w:rsidR="00C85B81" w:rsidRPr="00A46FF6" w:rsidSect="007F21CD">
      <w:pgSz w:w="11906" w:h="16838" w:code="9"/>
      <w:pgMar w:top="850" w:right="850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40E9"/>
    <w:multiLevelType w:val="hybridMultilevel"/>
    <w:tmpl w:val="DDFA70BE"/>
    <w:lvl w:ilvl="0" w:tplc="6B40D8A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392"/>
    <w:multiLevelType w:val="hybridMultilevel"/>
    <w:tmpl w:val="F1B44936"/>
    <w:lvl w:ilvl="0" w:tplc="6B40D8A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C6552"/>
    <w:multiLevelType w:val="hybridMultilevel"/>
    <w:tmpl w:val="8C2E42A6"/>
    <w:lvl w:ilvl="0" w:tplc="6B40D8A0">
      <w:start w:val="30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6B56124"/>
    <w:multiLevelType w:val="hybridMultilevel"/>
    <w:tmpl w:val="0E2E6506"/>
    <w:lvl w:ilvl="0" w:tplc="0260938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62323"/>
    <w:multiLevelType w:val="hybridMultilevel"/>
    <w:tmpl w:val="D0DC3054"/>
    <w:lvl w:ilvl="0" w:tplc="CD7227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447308"/>
    <w:multiLevelType w:val="hybridMultilevel"/>
    <w:tmpl w:val="1992635C"/>
    <w:lvl w:ilvl="0" w:tplc="9C14332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32B6E4F6">
      <w:start w:val="1"/>
      <w:numFmt w:val="bullet"/>
      <w:lvlText w:val=""/>
      <w:lvlJc w:val="left"/>
      <w:pPr>
        <w:tabs>
          <w:tab w:val="num" w:pos="0"/>
        </w:tabs>
        <w:ind w:left="0" w:hanging="360"/>
      </w:pPr>
      <w:rPr>
        <w:rFonts w:ascii="Symbol" w:hAnsi="Symbol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7A920DA7"/>
    <w:multiLevelType w:val="hybridMultilevel"/>
    <w:tmpl w:val="7A0A3EA4"/>
    <w:lvl w:ilvl="0" w:tplc="0422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7B8E4EB2"/>
    <w:multiLevelType w:val="hybridMultilevel"/>
    <w:tmpl w:val="FD22AE6E"/>
    <w:lvl w:ilvl="0" w:tplc="E77AE19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40EDD"/>
    <w:multiLevelType w:val="hybridMultilevel"/>
    <w:tmpl w:val="528C5572"/>
    <w:lvl w:ilvl="0" w:tplc="5F4A24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D102F"/>
    <w:multiLevelType w:val="hybridMultilevel"/>
    <w:tmpl w:val="88D4BFC2"/>
    <w:lvl w:ilvl="0" w:tplc="E77AE19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3422535">
    <w:abstractNumId w:val="1"/>
  </w:num>
  <w:num w:numId="2" w16cid:durableId="1406563992">
    <w:abstractNumId w:val="6"/>
  </w:num>
  <w:num w:numId="3" w16cid:durableId="401297625">
    <w:abstractNumId w:val="0"/>
  </w:num>
  <w:num w:numId="4" w16cid:durableId="2904835">
    <w:abstractNumId w:val="2"/>
  </w:num>
  <w:num w:numId="5" w16cid:durableId="1544169122">
    <w:abstractNumId w:val="5"/>
  </w:num>
  <w:num w:numId="6" w16cid:durableId="1631089623">
    <w:abstractNumId w:val="3"/>
  </w:num>
  <w:num w:numId="7" w16cid:durableId="526527408">
    <w:abstractNumId w:val="8"/>
  </w:num>
  <w:num w:numId="8" w16cid:durableId="1208374149">
    <w:abstractNumId w:val="4"/>
  </w:num>
  <w:num w:numId="9" w16cid:durableId="1776514512">
    <w:abstractNumId w:val="9"/>
  </w:num>
  <w:num w:numId="10" w16cid:durableId="76097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3A"/>
    <w:rsid w:val="000020FF"/>
    <w:rsid w:val="00005DC0"/>
    <w:rsid w:val="00007EFA"/>
    <w:rsid w:val="00027D85"/>
    <w:rsid w:val="00060BDC"/>
    <w:rsid w:val="0007151F"/>
    <w:rsid w:val="00085863"/>
    <w:rsid w:val="00092FE2"/>
    <w:rsid w:val="0009310F"/>
    <w:rsid w:val="0009604A"/>
    <w:rsid w:val="000A42ED"/>
    <w:rsid w:val="000B13DF"/>
    <w:rsid w:val="000B6B73"/>
    <w:rsid w:val="000E47A4"/>
    <w:rsid w:val="000F5D5D"/>
    <w:rsid w:val="001061FD"/>
    <w:rsid w:val="00106DE4"/>
    <w:rsid w:val="0013301C"/>
    <w:rsid w:val="00143032"/>
    <w:rsid w:val="00145631"/>
    <w:rsid w:val="0015051D"/>
    <w:rsid w:val="001518B0"/>
    <w:rsid w:val="00160AF7"/>
    <w:rsid w:val="0017385B"/>
    <w:rsid w:val="00175C7E"/>
    <w:rsid w:val="001807E2"/>
    <w:rsid w:val="001963C2"/>
    <w:rsid w:val="001B5B58"/>
    <w:rsid w:val="001C03BD"/>
    <w:rsid w:val="001C419A"/>
    <w:rsid w:val="001D2BB3"/>
    <w:rsid w:val="001F2181"/>
    <w:rsid w:val="001F6CA7"/>
    <w:rsid w:val="00217061"/>
    <w:rsid w:val="00224584"/>
    <w:rsid w:val="00231743"/>
    <w:rsid w:val="00231D74"/>
    <w:rsid w:val="002533A0"/>
    <w:rsid w:val="00291A88"/>
    <w:rsid w:val="002A2970"/>
    <w:rsid w:val="002B3BB0"/>
    <w:rsid w:val="002B62EC"/>
    <w:rsid w:val="002B752D"/>
    <w:rsid w:val="002C004A"/>
    <w:rsid w:val="002C11DB"/>
    <w:rsid w:val="002C563A"/>
    <w:rsid w:val="002C732B"/>
    <w:rsid w:val="002E0DBB"/>
    <w:rsid w:val="002E3B85"/>
    <w:rsid w:val="002F1B4D"/>
    <w:rsid w:val="00306069"/>
    <w:rsid w:val="003071B3"/>
    <w:rsid w:val="0031298B"/>
    <w:rsid w:val="00314084"/>
    <w:rsid w:val="003170BC"/>
    <w:rsid w:val="00324F1F"/>
    <w:rsid w:val="003254C9"/>
    <w:rsid w:val="00351E11"/>
    <w:rsid w:val="00360FEC"/>
    <w:rsid w:val="003623CB"/>
    <w:rsid w:val="00364CC7"/>
    <w:rsid w:val="003667AC"/>
    <w:rsid w:val="003731F8"/>
    <w:rsid w:val="003966E7"/>
    <w:rsid w:val="003968BE"/>
    <w:rsid w:val="003A1E2F"/>
    <w:rsid w:val="003B591F"/>
    <w:rsid w:val="00405842"/>
    <w:rsid w:val="0042130C"/>
    <w:rsid w:val="00421BBD"/>
    <w:rsid w:val="00423040"/>
    <w:rsid w:val="004235F8"/>
    <w:rsid w:val="004351F2"/>
    <w:rsid w:val="00445C8F"/>
    <w:rsid w:val="0045064A"/>
    <w:rsid w:val="00461038"/>
    <w:rsid w:val="00471146"/>
    <w:rsid w:val="004726EF"/>
    <w:rsid w:val="00474C7E"/>
    <w:rsid w:val="004776E6"/>
    <w:rsid w:val="0049058D"/>
    <w:rsid w:val="004A0E7C"/>
    <w:rsid w:val="004C4330"/>
    <w:rsid w:val="004D5896"/>
    <w:rsid w:val="004E3E71"/>
    <w:rsid w:val="004E4576"/>
    <w:rsid w:val="004F110E"/>
    <w:rsid w:val="004F7CD8"/>
    <w:rsid w:val="005052B8"/>
    <w:rsid w:val="00551EE0"/>
    <w:rsid w:val="00582E6B"/>
    <w:rsid w:val="005A1E37"/>
    <w:rsid w:val="005A61CC"/>
    <w:rsid w:val="005A77AC"/>
    <w:rsid w:val="005C2AE4"/>
    <w:rsid w:val="005D7D13"/>
    <w:rsid w:val="005E450B"/>
    <w:rsid w:val="005F47E2"/>
    <w:rsid w:val="00620773"/>
    <w:rsid w:val="00620AD1"/>
    <w:rsid w:val="006328B0"/>
    <w:rsid w:val="00641D49"/>
    <w:rsid w:val="006602C1"/>
    <w:rsid w:val="00661DCE"/>
    <w:rsid w:val="006635A8"/>
    <w:rsid w:val="006872C8"/>
    <w:rsid w:val="00692AB1"/>
    <w:rsid w:val="006A2C68"/>
    <w:rsid w:val="006A7ABC"/>
    <w:rsid w:val="006A7CC2"/>
    <w:rsid w:val="006B6A65"/>
    <w:rsid w:val="006C1A8C"/>
    <w:rsid w:val="006D0D55"/>
    <w:rsid w:val="006D4BB4"/>
    <w:rsid w:val="006E3095"/>
    <w:rsid w:val="006F3732"/>
    <w:rsid w:val="006F5A76"/>
    <w:rsid w:val="00715C1E"/>
    <w:rsid w:val="00716812"/>
    <w:rsid w:val="007170CE"/>
    <w:rsid w:val="00717B98"/>
    <w:rsid w:val="00745652"/>
    <w:rsid w:val="00752C3D"/>
    <w:rsid w:val="00754B27"/>
    <w:rsid w:val="00762A3E"/>
    <w:rsid w:val="00775A60"/>
    <w:rsid w:val="00782D37"/>
    <w:rsid w:val="00787AD3"/>
    <w:rsid w:val="0079514B"/>
    <w:rsid w:val="0079559A"/>
    <w:rsid w:val="007C0B73"/>
    <w:rsid w:val="007C6D32"/>
    <w:rsid w:val="007D2732"/>
    <w:rsid w:val="007E719A"/>
    <w:rsid w:val="007F21CD"/>
    <w:rsid w:val="00800D96"/>
    <w:rsid w:val="008246E1"/>
    <w:rsid w:val="008474AA"/>
    <w:rsid w:val="008510D2"/>
    <w:rsid w:val="00864E42"/>
    <w:rsid w:val="00867A50"/>
    <w:rsid w:val="00871AD0"/>
    <w:rsid w:val="00874E06"/>
    <w:rsid w:val="00891659"/>
    <w:rsid w:val="00891D79"/>
    <w:rsid w:val="00892A92"/>
    <w:rsid w:val="008976FA"/>
    <w:rsid w:val="008A1B09"/>
    <w:rsid w:val="008A266E"/>
    <w:rsid w:val="008B0BD6"/>
    <w:rsid w:val="008B5870"/>
    <w:rsid w:val="008C03D1"/>
    <w:rsid w:val="008C041E"/>
    <w:rsid w:val="008C3BF1"/>
    <w:rsid w:val="008C568F"/>
    <w:rsid w:val="008D07FF"/>
    <w:rsid w:val="008F116A"/>
    <w:rsid w:val="00901097"/>
    <w:rsid w:val="009037C6"/>
    <w:rsid w:val="0090456A"/>
    <w:rsid w:val="0094478B"/>
    <w:rsid w:val="00944834"/>
    <w:rsid w:val="00945DB1"/>
    <w:rsid w:val="00951013"/>
    <w:rsid w:val="00962769"/>
    <w:rsid w:val="00970129"/>
    <w:rsid w:val="00976EE8"/>
    <w:rsid w:val="0098312A"/>
    <w:rsid w:val="009921C5"/>
    <w:rsid w:val="009A003E"/>
    <w:rsid w:val="009B54C6"/>
    <w:rsid w:val="009C69C9"/>
    <w:rsid w:val="009D4926"/>
    <w:rsid w:val="009D4E71"/>
    <w:rsid w:val="00A04B79"/>
    <w:rsid w:val="00A16999"/>
    <w:rsid w:val="00A312D2"/>
    <w:rsid w:val="00A33498"/>
    <w:rsid w:val="00A45FF7"/>
    <w:rsid w:val="00A46FF6"/>
    <w:rsid w:val="00A60E3F"/>
    <w:rsid w:val="00A740D0"/>
    <w:rsid w:val="00A804E1"/>
    <w:rsid w:val="00A926D2"/>
    <w:rsid w:val="00AD0E8C"/>
    <w:rsid w:val="00AD28BB"/>
    <w:rsid w:val="00AE4D22"/>
    <w:rsid w:val="00B430AE"/>
    <w:rsid w:val="00B6012F"/>
    <w:rsid w:val="00B6031C"/>
    <w:rsid w:val="00B679A3"/>
    <w:rsid w:val="00B807C1"/>
    <w:rsid w:val="00B813AD"/>
    <w:rsid w:val="00BA3962"/>
    <w:rsid w:val="00BA63ED"/>
    <w:rsid w:val="00BA75D4"/>
    <w:rsid w:val="00BB50F8"/>
    <w:rsid w:val="00BB5B9A"/>
    <w:rsid w:val="00BC3848"/>
    <w:rsid w:val="00BE04BD"/>
    <w:rsid w:val="00BF0CCB"/>
    <w:rsid w:val="00BF1525"/>
    <w:rsid w:val="00C10AB3"/>
    <w:rsid w:val="00C110E1"/>
    <w:rsid w:val="00C17ACF"/>
    <w:rsid w:val="00C17C74"/>
    <w:rsid w:val="00C41577"/>
    <w:rsid w:val="00C5674F"/>
    <w:rsid w:val="00C71BC2"/>
    <w:rsid w:val="00C85B81"/>
    <w:rsid w:val="00CB13FE"/>
    <w:rsid w:val="00CC2260"/>
    <w:rsid w:val="00CD2622"/>
    <w:rsid w:val="00CE0FD1"/>
    <w:rsid w:val="00CF693B"/>
    <w:rsid w:val="00CF7ABF"/>
    <w:rsid w:val="00D20E65"/>
    <w:rsid w:val="00D3008F"/>
    <w:rsid w:val="00D52B19"/>
    <w:rsid w:val="00D623EC"/>
    <w:rsid w:val="00D71479"/>
    <w:rsid w:val="00D714D3"/>
    <w:rsid w:val="00D90CB3"/>
    <w:rsid w:val="00D97957"/>
    <w:rsid w:val="00DA78A5"/>
    <w:rsid w:val="00DB720F"/>
    <w:rsid w:val="00DD21E5"/>
    <w:rsid w:val="00DD2884"/>
    <w:rsid w:val="00DD373A"/>
    <w:rsid w:val="00DD6DB0"/>
    <w:rsid w:val="00DF55BB"/>
    <w:rsid w:val="00E05347"/>
    <w:rsid w:val="00E068FF"/>
    <w:rsid w:val="00E1386B"/>
    <w:rsid w:val="00E148BF"/>
    <w:rsid w:val="00E2167D"/>
    <w:rsid w:val="00E21A98"/>
    <w:rsid w:val="00E22CDE"/>
    <w:rsid w:val="00E3091A"/>
    <w:rsid w:val="00E31677"/>
    <w:rsid w:val="00E3557D"/>
    <w:rsid w:val="00E5775C"/>
    <w:rsid w:val="00E579D3"/>
    <w:rsid w:val="00E63857"/>
    <w:rsid w:val="00E87CF9"/>
    <w:rsid w:val="00E91F2D"/>
    <w:rsid w:val="00EB73F6"/>
    <w:rsid w:val="00EC05F7"/>
    <w:rsid w:val="00EE3CF2"/>
    <w:rsid w:val="00EE46EC"/>
    <w:rsid w:val="00EF2F87"/>
    <w:rsid w:val="00F02C76"/>
    <w:rsid w:val="00F22D58"/>
    <w:rsid w:val="00F314B4"/>
    <w:rsid w:val="00F42745"/>
    <w:rsid w:val="00F435B1"/>
    <w:rsid w:val="00F43E01"/>
    <w:rsid w:val="00F55DCE"/>
    <w:rsid w:val="00F87D1A"/>
    <w:rsid w:val="00FB23AB"/>
    <w:rsid w:val="00FB76A5"/>
    <w:rsid w:val="00FE77B3"/>
    <w:rsid w:val="00FF1FF6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A487"/>
  <w15:chartTrackingRefBased/>
  <w15:docId w15:val="{FACBC9A5-62DB-47C1-A560-13DDE4F8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FF6"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24584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4584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24584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24584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24584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224584"/>
    <w:pPr>
      <w:keepNext/>
      <w:keepLines/>
      <w:spacing w:before="40"/>
      <w:outlineLvl w:val="5"/>
    </w:pPr>
    <w:rPr>
      <w:rFonts w:eastAsiaTheme="majorEastAsia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4584"/>
    <w:pPr>
      <w:keepNext/>
      <w:keepLines/>
      <w:spacing w:before="4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22458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22458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58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a3">
    <w:name w:val="No Spacing"/>
    <w:uiPriority w:val="1"/>
    <w:qFormat/>
    <w:rsid w:val="008474A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224584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24584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24584"/>
    <w:rPr>
      <w:rFonts w:ascii="Times New Roman" w:eastAsiaTheme="majorEastAsia" w:hAnsi="Times New Roman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rsid w:val="00224584"/>
    <w:rPr>
      <w:rFonts w:ascii="Times New Roman" w:eastAsiaTheme="majorEastAsia" w:hAnsi="Times New Roman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rsid w:val="00224584"/>
    <w:rPr>
      <w:rFonts w:ascii="Times New Roman" w:eastAsiaTheme="majorEastAsia" w:hAnsi="Times New Roman" w:cstheme="majorBidi"/>
      <w:color w:val="1F3763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rsid w:val="00224584"/>
    <w:rPr>
      <w:rFonts w:ascii="Times New Roman" w:eastAsiaTheme="majorEastAsia" w:hAnsi="Times New Roman" w:cstheme="majorBidi"/>
      <w:i/>
      <w:iCs/>
      <w:color w:val="1F3763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rsid w:val="00224584"/>
    <w:rPr>
      <w:rFonts w:ascii="Times New Roman" w:eastAsiaTheme="majorEastAsia" w:hAnsi="Times New Roman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224584"/>
    <w:rPr>
      <w:rFonts w:ascii="Times New Roman" w:eastAsiaTheme="majorEastAsia" w:hAnsi="Times New Roman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rsid w:val="0022458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224584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24584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a7">
    <w:name w:val="Підзаголовок Знак"/>
    <w:basedOn w:val="a0"/>
    <w:link w:val="a6"/>
    <w:uiPriority w:val="11"/>
    <w:rsid w:val="00224584"/>
    <w:rPr>
      <w:rFonts w:ascii="Times New Roman" w:eastAsiaTheme="minorEastAsia" w:hAnsi="Times New Roman"/>
      <w:color w:val="5A5A5A" w:themeColor="text1" w:themeTint="A5"/>
      <w:spacing w:val="15"/>
    </w:rPr>
  </w:style>
  <w:style w:type="table" w:styleId="a8">
    <w:name w:val="Table Grid"/>
    <w:basedOn w:val="a1"/>
    <w:uiPriority w:val="39"/>
    <w:rsid w:val="002C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5C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a9">
    <w:name w:val="List Paragraph"/>
    <w:basedOn w:val="a"/>
    <w:link w:val="aa"/>
    <w:uiPriority w:val="34"/>
    <w:qFormat/>
    <w:rsid w:val="00A46FF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C4330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4C4330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rsid w:val="004C4330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C433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4C4330"/>
    <w:rPr>
      <w:rFonts w:ascii="Times New Roman" w:hAnsi="Times New Roman"/>
      <w:b/>
      <w:bCs/>
      <w:sz w:val="20"/>
      <w:szCs w:val="20"/>
    </w:rPr>
  </w:style>
  <w:style w:type="character" w:customStyle="1" w:styleId="aa">
    <w:name w:val="Абзац списку Знак"/>
    <w:link w:val="a9"/>
    <w:uiPriority w:val="34"/>
    <w:locked/>
    <w:rsid w:val="00CF7AB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c4b6f3e-94b8-4002-b726-581568278ffa" xsi:nil="true"/>
    <lcf76f155ced4ddcb4097134ff3c332f xmlns="ac4b6f3e-94b8-4002-b726-581568278ffa">
      <Terms xmlns="http://schemas.microsoft.com/office/infopath/2007/PartnerControls"/>
    </lcf76f155ced4ddcb4097134ff3c332f>
    <TaxCatchAll xmlns="bfba9c37-6b11-4827-8805-31e02874b7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69B22EB7980148948D637F769FFB8D" ma:contentTypeVersion="17" ma:contentTypeDescription="Створення нового документа." ma:contentTypeScope="" ma:versionID="832aecb00f826def3c7b8ba62ec55111">
  <xsd:schema xmlns:xsd="http://www.w3.org/2001/XMLSchema" xmlns:xs="http://www.w3.org/2001/XMLSchema" xmlns:p="http://schemas.microsoft.com/office/2006/metadata/properties" xmlns:ns2="bfba9c37-6b11-4827-8805-31e02874b793" xmlns:ns3="ac4b6f3e-94b8-4002-b726-581568278ffa" targetNamespace="http://schemas.microsoft.com/office/2006/metadata/properties" ma:root="true" ma:fieldsID="46d3892d4a94e531f5434386a2059fdc" ns2:_="" ns3:_="">
    <xsd:import namespace="bfba9c37-6b11-4827-8805-31e02874b793"/>
    <xsd:import namespace="ac4b6f3e-94b8-4002-b726-581568278f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a9c37-6b11-4827-8805-31e02874b7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bb92db0-d97c-4049-9466-6b729b9c36e8}" ma:internalName="TaxCatchAll" ma:showField="CatchAllData" ma:web="bfba9c37-6b11-4827-8805-31e02874b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b6f3e-94b8-4002-b726-581568278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3614fe8-9693-43e0-a328-0b9206e01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Стан погодження" ma:internalName="_x0421__x0442__x0430__x043d__x0020__x043f__x043e__x0433__x043e__x0434__x0436__x0435__x043d__x043d__x044f_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20B73-833F-4E9B-A104-A0BCB2FF5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12971-2E0B-4E3A-A89D-3CAB05DB9381}">
  <ds:schemaRefs>
    <ds:schemaRef ds:uri="http://schemas.microsoft.com/office/2006/metadata/properties"/>
    <ds:schemaRef ds:uri="http://schemas.microsoft.com/office/infopath/2007/PartnerControls"/>
    <ds:schemaRef ds:uri="ac4b6f3e-94b8-4002-b726-581568278ffa"/>
    <ds:schemaRef ds:uri="bfba9c37-6b11-4827-8805-31e02874b793"/>
  </ds:schemaRefs>
</ds:datastoreItem>
</file>

<file path=customXml/itemProps3.xml><?xml version="1.0" encoding="utf-8"?>
<ds:datastoreItem xmlns:ds="http://schemas.openxmlformats.org/officeDocument/2006/customXml" ds:itemID="{C01D73BC-59A0-492F-BF8E-29E4407DDD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C7E94-47E6-49B2-84A4-64B66FCCF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a9c37-6b11-4827-8805-31e02874b793"/>
    <ds:schemaRef ds:uri="ac4b6f3e-94b8-4002-b726-581568278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353</Words>
  <Characters>2429</Characters>
  <Application>Microsoft Office Word</Application>
  <DocSecurity>0</DocSecurity>
  <Lines>71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Osadcha</dc:creator>
  <cp:keywords/>
  <dc:description/>
  <cp:lastModifiedBy>Oleksandr Chernyshov</cp:lastModifiedBy>
  <cp:revision>43</cp:revision>
  <cp:lastPrinted>2025-07-01T09:41:00Z</cp:lastPrinted>
  <dcterms:created xsi:type="dcterms:W3CDTF">2023-03-31T07:45:00Z</dcterms:created>
  <dcterms:modified xsi:type="dcterms:W3CDTF">2026-03-10T11:39:00Z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0x010100E469B22EB7980148948D637F769FFB8D</vt:lpwstr>
  </property>
</Properties>
</file>