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0" w:line="240" w:lineRule="auto"/>
        <w:ind w:left="-360" w:right="-720" w:firstLine="0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Додаток 1. </w:t>
      </w:r>
    </w:p>
    <w:p w:rsidR="00000000" w:rsidDel="00000000" w:rsidP="00000000" w:rsidRDefault="00000000" w:rsidRPr="00000000" w14:paraId="00000002">
      <w:pPr>
        <w:spacing w:after="0" w:before="0" w:line="240" w:lineRule="auto"/>
        <w:ind w:left="-360" w:right="-720" w:firstLine="0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Технічне завдання / специфікація (склад аптечного боксу) для проєкту Save the Workers. </w:t>
      </w:r>
    </w:p>
    <w:p w:rsidR="00000000" w:rsidDel="00000000" w:rsidP="00000000" w:rsidRDefault="00000000" w:rsidRPr="00000000" w14:paraId="00000003">
      <w:pPr>
        <w:spacing w:after="0" w:before="0" w:line="240" w:lineRule="auto"/>
        <w:ind w:left="-360" w:right="-720" w:firstLine="0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before="0" w:line="240" w:lineRule="auto"/>
        <w:ind w:left="-360" w:right="-720" w:firstLine="0"/>
        <w:jc w:val="both"/>
        <w:rPr/>
      </w:pPr>
      <w:r w:rsidDel="00000000" w:rsidR="00000000" w:rsidRPr="00000000">
        <w:rPr>
          <w:rtl w:val="0"/>
        </w:rPr>
        <w:t xml:space="preserve">До Оголошення про відкриті торги та запрошення до участі у тендері на закупівлю наборів аптечних боксів першої допомоги від 12 березня 2026 р.</w:t>
      </w:r>
    </w:p>
    <w:p w:rsidR="00000000" w:rsidDel="00000000" w:rsidP="00000000" w:rsidRDefault="00000000" w:rsidRPr="00000000" w14:paraId="00000005">
      <w:pPr>
        <w:spacing w:after="0" w:before="0" w:line="240" w:lineRule="auto"/>
        <w:ind w:left="-360" w:right="-7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before="0" w:line="240" w:lineRule="auto"/>
        <w:ind w:left="-360" w:right="-720" w:firstLine="0"/>
        <w:jc w:val="both"/>
        <w:rPr/>
      </w:pPr>
      <w:r w:rsidDel="00000000" w:rsidR="00000000" w:rsidRPr="00000000">
        <w:rPr>
          <w:rtl w:val="0"/>
        </w:rPr>
        <w:t xml:space="preserve">Референс №: TENDER/MK/FIRSTAIDKITS/2026-02</w:t>
      </w:r>
    </w:p>
    <w:p w:rsidR="00000000" w:rsidDel="00000000" w:rsidP="00000000" w:rsidRDefault="00000000" w:rsidRPr="00000000" w14:paraId="00000007">
      <w:pPr>
        <w:spacing w:after="0" w:before="0" w:line="240" w:lineRule="auto"/>
        <w:ind w:left="-360" w:right="-7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before="0" w:line="240" w:lineRule="auto"/>
        <w:ind w:left="-360" w:right="-720" w:firstLine="0"/>
        <w:jc w:val="both"/>
        <w:rPr/>
      </w:pPr>
      <w:r w:rsidDel="00000000" w:rsidR="00000000" w:rsidRPr="00000000">
        <w:rPr>
          <w:rtl w:val="0"/>
        </w:rPr>
        <w:t xml:space="preserve">м. Харків,</w:t>
        <w:tab/>
        <w:tab/>
        <w:tab/>
        <w:tab/>
        <w:tab/>
        <w:tab/>
        <w:tab/>
        <w:tab/>
        <w:tab/>
        <w:tab/>
        <w:t xml:space="preserve">12 березня  2026 року</w:t>
      </w:r>
    </w:p>
    <w:p w:rsidR="00000000" w:rsidDel="00000000" w:rsidP="00000000" w:rsidRDefault="00000000" w:rsidRPr="00000000" w14:paraId="00000009">
      <w:pPr>
        <w:spacing w:after="0" w:before="0" w:line="240" w:lineRule="auto"/>
        <w:ind w:left="-360" w:right="-7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2"/>
        <w:keepNext w:val="0"/>
        <w:keepLines w:val="0"/>
        <w:spacing w:after="0" w:before="0" w:line="240" w:lineRule="auto"/>
        <w:ind w:left="-360" w:right="-720" w:firstLine="0"/>
        <w:jc w:val="both"/>
        <w:rPr>
          <w:b w:val="1"/>
          <w:bCs w:val="1"/>
          <w:sz w:val="22"/>
          <w:szCs w:val="22"/>
        </w:rPr>
      </w:pPr>
      <w:bookmarkStart w:colFirst="0" w:colLast="0" w:name="_heading=h.iwq36tgyfh9b" w:id="0"/>
      <w:bookmarkEnd w:id="0"/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1. Загальна інформація про Замовника</w:t>
      </w:r>
    </w:p>
    <w:p w:rsidR="00000000" w:rsidDel="00000000" w:rsidP="00000000" w:rsidRDefault="00000000" w:rsidRPr="00000000" w14:paraId="0000000B">
      <w:pPr>
        <w:spacing w:after="0" w:before="0" w:line="240" w:lineRule="auto"/>
        <w:ind w:left="-360" w:right="-720" w:firstLine="0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Благодійна організація «Благодійний фонд «Місія Харків»</w:t>
      </w:r>
      <w:r w:rsidDel="00000000" w:rsidR="00000000" w:rsidRPr="00000000">
        <w:rPr>
          <w:rtl w:val="0"/>
        </w:rPr>
        <w:br w:type="textWrapping"/>
        <w:t xml:space="preserve">ЄДРПОУ 44892289</w:t>
        <w:br w:type="textWrapping"/>
        <w:t xml:space="preserve">61022, м. Харків, пр. Незалежності, 5</w:t>
        <w:br w:type="textWrapping"/>
        <w:t xml:space="preserve">Дата оголошення: 12 березня 2026 року</w:t>
        <w:br w:type="textWrapping"/>
        <w:t xml:space="preserve">Референс №: </w:t>
      </w:r>
      <w:r w:rsidDel="00000000" w:rsidR="00000000" w:rsidRPr="00000000">
        <w:rPr>
          <w:b w:val="1"/>
          <w:bCs w:val="1"/>
          <w:rtl w:val="0"/>
        </w:rPr>
        <w:t xml:space="preserve">TENDER/MK/FIRSTAIDKITS/2026-02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before="0" w:line="240" w:lineRule="auto"/>
        <w:ind w:left="-360" w:right="-720" w:firstLine="0"/>
        <w:jc w:val="both"/>
        <w:rPr/>
      </w:pPr>
      <w:r w:rsidDel="00000000" w:rsidR="00000000" w:rsidRPr="00000000">
        <w:rPr>
          <w:rtl w:val="0"/>
        </w:rPr>
        <w:t xml:space="preserve">Закупівля проводиться відповідно до Політики про порядок проведення закупівель Благодійної організації “Благодійний фонд «Місія Харків»”.</w:t>
      </w:r>
    </w:p>
    <w:p w:rsidR="00000000" w:rsidDel="00000000" w:rsidP="00000000" w:rsidRDefault="00000000" w:rsidRPr="00000000" w14:paraId="0000000D">
      <w:pPr>
        <w:spacing w:after="0" w:before="0" w:line="240" w:lineRule="auto"/>
        <w:ind w:left="-360" w:right="-720" w:firstLine="0"/>
        <w:jc w:val="both"/>
        <w:rPr>
          <w:b w:val="1"/>
          <w:bCs w:val="1"/>
        </w:rPr>
      </w:pPr>
      <w:r w:rsidDel="00000000" w:rsidR="00000000" w:rsidRPr="00000000">
        <w:rPr>
          <w:rtl w:val="0"/>
        </w:rPr>
        <w:t xml:space="preserve">З метою забезпечення прозорості процедура закупівлі додатково публікується на платформі Громадський Простір (Prostir.ua).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2"/>
        <w:keepNext w:val="0"/>
        <w:keepLines w:val="0"/>
        <w:spacing w:after="0" w:before="0" w:line="240" w:lineRule="auto"/>
        <w:ind w:left="-360" w:right="-720" w:firstLine="0"/>
        <w:jc w:val="both"/>
        <w:rPr>
          <w:b w:val="1"/>
          <w:bCs w:val="1"/>
          <w:sz w:val="22"/>
          <w:szCs w:val="22"/>
        </w:rPr>
      </w:pPr>
      <w:bookmarkStart w:colFirst="0" w:colLast="0" w:name="_heading=h.kea6y5ckfum4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2"/>
        <w:keepNext w:val="0"/>
        <w:keepLines w:val="0"/>
        <w:spacing w:after="0" w:before="0" w:line="240" w:lineRule="auto"/>
        <w:ind w:left="-360" w:right="-720" w:firstLine="0"/>
        <w:jc w:val="both"/>
        <w:rPr>
          <w:sz w:val="22"/>
          <w:szCs w:val="22"/>
        </w:rPr>
      </w:pPr>
      <w:bookmarkStart w:colFirst="0" w:colLast="0" w:name="_heading=h.42a64an57kdt" w:id="2"/>
      <w:bookmarkEnd w:id="2"/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2. Контекст та призначення закупівлі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before="0" w:line="240" w:lineRule="auto"/>
        <w:ind w:left="-360" w:right="-720" w:firstLine="0"/>
        <w:jc w:val="both"/>
        <w:rPr/>
      </w:pPr>
      <w:r w:rsidDel="00000000" w:rsidR="00000000" w:rsidRPr="00000000">
        <w:rPr>
          <w:rtl w:val="0"/>
        </w:rPr>
        <w:t xml:space="preserve">Закупівля здійснюється в межах гуманітарного проєкту Save the Workers, спрямованого на підтримку працівників критичної інфраструктури шляхом проведення навчань з домедичної допомоги та передачі спеціалізованих аптечок першої допомоги.</w:t>
      </w:r>
    </w:p>
    <w:p w:rsidR="00000000" w:rsidDel="00000000" w:rsidP="00000000" w:rsidRDefault="00000000" w:rsidRPr="00000000" w14:paraId="00000011">
      <w:pPr>
        <w:spacing w:after="0" w:before="0" w:line="240" w:lineRule="auto"/>
        <w:ind w:left="-360" w:right="-720" w:firstLine="0"/>
        <w:jc w:val="both"/>
        <w:rPr/>
      </w:pPr>
      <w:r w:rsidDel="00000000" w:rsidR="00000000" w:rsidRPr="00000000">
        <w:rPr>
          <w:rtl w:val="0"/>
        </w:rPr>
        <w:t xml:space="preserve">Аптечні бокси призначені для:</w:t>
      </w:r>
    </w:p>
    <w:p w:rsidR="00000000" w:rsidDel="00000000" w:rsidP="00000000" w:rsidRDefault="00000000" w:rsidRPr="00000000" w14:paraId="00000012">
      <w:pPr>
        <w:numPr>
          <w:ilvl w:val="0"/>
          <w:numId w:val="4"/>
        </w:numPr>
        <w:spacing w:after="0" w:before="0" w:line="240" w:lineRule="auto"/>
        <w:ind w:left="-360" w:right="-720" w:firstLine="0"/>
        <w:jc w:val="both"/>
        <w:rPr/>
      </w:pPr>
      <w:r w:rsidDel="00000000" w:rsidR="00000000" w:rsidRPr="00000000">
        <w:rPr>
          <w:rtl w:val="0"/>
        </w:rPr>
        <w:t xml:space="preserve">Демонстрації вмісту під час</w:t>
      </w:r>
      <w:r w:rsidDel="00000000" w:rsidR="00000000" w:rsidRPr="00000000">
        <w:rPr>
          <w:rtl w:val="0"/>
        </w:rPr>
        <w:t xml:space="preserve">практичних тренінгів з домедичної допомоги;</w:t>
      </w:r>
    </w:p>
    <w:p w:rsidR="00000000" w:rsidDel="00000000" w:rsidP="00000000" w:rsidRDefault="00000000" w:rsidRPr="00000000" w14:paraId="00000013">
      <w:pPr>
        <w:numPr>
          <w:ilvl w:val="0"/>
          <w:numId w:val="4"/>
        </w:numPr>
        <w:spacing w:after="0" w:before="0" w:line="240" w:lineRule="auto"/>
        <w:ind w:left="-360" w:right="-720" w:firstLine="0"/>
        <w:jc w:val="both"/>
        <w:rPr/>
      </w:pPr>
      <w:r w:rsidDel="00000000" w:rsidR="00000000" w:rsidRPr="00000000">
        <w:rPr>
          <w:rtl w:val="0"/>
        </w:rPr>
        <w:t xml:space="preserve">комплектації та передачі учасникам проєкту;</w:t>
      </w:r>
    </w:p>
    <w:p w:rsidR="00000000" w:rsidDel="00000000" w:rsidP="00000000" w:rsidRDefault="00000000" w:rsidRPr="00000000" w14:paraId="00000014">
      <w:pPr>
        <w:numPr>
          <w:ilvl w:val="0"/>
          <w:numId w:val="4"/>
        </w:numPr>
        <w:spacing w:after="0" w:before="0" w:line="240" w:lineRule="auto"/>
        <w:ind w:left="-360" w:right="-720" w:firstLine="0"/>
        <w:jc w:val="both"/>
        <w:rPr/>
      </w:pPr>
      <w:r w:rsidDel="00000000" w:rsidR="00000000" w:rsidRPr="00000000">
        <w:rPr>
          <w:rtl w:val="0"/>
        </w:rPr>
        <w:t xml:space="preserve">використання у надзвичайних ситуаціях, зокрема в умовах підвищеного ризику;</w:t>
      </w:r>
    </w:p>
    <w:p w:rsidR="00000000" w:rsidDel="00000000" w:rsidP="00000000" w:rsidRDefault="00000000" w:rsidRPr="00000000" w14:paraId="00000015">
      <w:pPr>
        <w:pStyle w:val="Heading2"/>
        <w:keepNext w:val="0"/>
        <w:keepLines w:val="0"/>
        <w:spacing w:after="0" w:before="0" w:line="240" w:lineRule="auto"/>
        <w:ind w:left="-360" w:right="-720" w:firstLine="0"/>
        <w:jc w:val="both"/>
        <w:rPr>
          <w:b w:val="1"/>
          <w:bCs w:val="1"/>
          <w:sz w:val="22"/>
          <w:szCs w:val="22"/>
        </w:rPr>
      </w:pPr>
      <w:bookmarkStart w:colFirst="0" w:colLast="0" w:name="_heading=h.7bvuqtcxhfd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Style w:val="Heading2"/>
        <w:keepNext w:val="0"/>
        <w:keepLines w:val="0"/>
        <w:spacing w:after="0" w:before="0" w:line="240" w:lineRule="auto"/>
        <w:ind w:left="-360" w:right="-720" w:firstLine="0"/>
        <w:jc w:val="both"/>
        <w:rPr>
          <w:b w:val="1"/>
          <w:bCs w:val="1"/>
          <w:sz w:val="22"/>
          <w:szCs w:val="22"/>
        </w:rPr>
      </w:pPr>
      <w:bookmarkStart w:colFirst="0" w:colLast="0" w:name="_heading=h.tr0hv43puqv" w:id="4"/>
      <w:bookmarkEnd w:id="4"/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3. Предмет закупівлі</w:t>
      </w:r>
    </w:p>
    <w:p w:rsidR="00000000" w:rsidDel="00000000" w:rsidP="00000000" w:rsidRDefault="00000000" w:rsidRPr="00000000" w14:paraId="00000017">
      <w:pPr>
        <w:spacing w:after="0" w:before="0" w:line="240" w:lineRule="auto"/>
        <w:ind w:left="-360" w:right="-720" w:firstLine="0"/>
        <w:jc w:val="both"/>
        <w:rPr/>
      </w:pPr>
      <w:r w:rsidDel="00000000" w:rsidR="00000000" w:rsidRPr="00000000">
        <w:rPr>
          <w:rtl w:val="0"/>
        </w:rPr>
        <w:t xml:space="preserve">221 аптечний набір першої допомоги або еквівалент, укомплектованих відповідно до вимог цього Технічного завдання.</w:t>
      </w:r>
    </w:p>
    <w:p w:rsidR="00000000" w:rsidDel="00000000" w:rsidP="00000000" w:rsidRDefault="00000000" w:rsidRPr="00000000" w14:paraId="00000018">
      <w:pPr>
        <w:pStyle w:val="Heading2"/>
        <w:keepNext w:val="0"/>
        <w:keepLines w:val="0"/>
        <w:spacing w:after="0" w:before="0" w:line="240" w:lineRule="auto"/>
        <w:ind w:left="-360" w:right="-720" w:firstLine="0"/>
        <w:jc w:val="both"/>
        <w:rPr>
          <w:b w:val="1"/>
          <w:bCs w:val="1"/>
          <w:sz w:val="22"/>
          <w:szCs w:val="22"/>
        </w:rPr>
      </w:pPr>
      <w:bookmarkStart w:colFirst="0" w:colLast="0" w:name="_heading=h.u2ealrqkut30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Style w:val="Heading2"/>
        <w:keepNext w:val="0"/>
        <w:keepLines w:val="0"/>
        <w:spacing w:after="0" w:before="0" w:line="240" w:lineRule="auto"/>
        <w:ind w:left="-360" w:right="-720" w:firstLine="0"/>
        <w:jc w:val="both"/>
        <w:rPr>
          <w:b w:val="1"/>
          <w:bCs w:val="1"/>
          <w:sz w:val="22"/>
          <w:szCs w:val="22"/>
        </w:rPr>
      </w:pPr>
      <w:bookmarkStart w:colFirst="0" w:colLast="0" w:name="_heading=h.mptayabm5qzn" w:id="6"/>
      <w:bookmarkEnd w:id="6"/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4. Загальні вимоги до стану та якості товарів</w:t>
      </w:r>
    </w:p>
    <w:p w:rsidR="00000000" w:rsidDel="00000000" w:rsidP="00000000" w:rsidRDefault="00000000" w:rsidRPr="00000000" w14:paraId="0000001A">
      <w:pPr>
        <w:spacing w:after="0" w:before="0" w:line="240" w:lineRule="auto"/>
        <w:ind w:left="-360" w:right="-720" w:firstLine="0"/>
        <w:jc w:val="both"/>
        <w:rPr/>
      </w:pPr>
      <w:r w:rsidDel="00000000" w:rsidR="00000000" w:rsidRPr="00000000">
        <w:rPr>
          <w:rtl w:val="0"/>
        </w:rPr>
        <w:t xml:space="preserve">Усі складові аптечного боксу мають бути:</w:t>
      </w:r>
    </w:p>
    <w:p w:rsidR="00000000" w:rsidDel="00000000" w:rsidP="00000000" w:rsidRDefault="00000000" w:rsidRPr="00000000" w14:paraId="0000001B">
      <w:pPr>
        <w:numPr>
          <w:ilvl w:val="0"/>
          <w:numId w:val="5"/>
        </w:numPr>
        <w:spacing w:after="0" w:before="0" w:line="240" w:lineRule="auto"/>
        <w:ind w:left="-360" w:right="-720" w:firstLine="0"/>
        <w:jc w:val="both"/>
        <w:rPr/>
      </w:pPr>
      <w:r w:rsidDel="00000000" w:rsidR="00000000" w:rsidRPr="00000000">
        <w:rPr>
          <w:rtl w:val="0"/>
        </w:rPr>
        <w:t xml:space="preserve">новими;</w:t>
      </w:r>
    </w:p>
    <w:p w:rsidR="00000000" w:rsidDel="00000000" w:rsidP="00000000" w:rsidRDefault="00000000" w:rsidRPr="00000000" w14:paraId="0000001C">
      <w:pPr>
        <w:numPr>
          <w:ilvl w:val="0"/>
          <w:numId w:val="5"/>
        </w:numPr>
        <w:spacing w:after="0" w:before="0" w:line="240" w:lineRule="auto"/>
        <w:ind w:left="-360" w:right="-720" w:firstLine="0"/>
        <w:jc w:val="both"/>
        <w:rPr/>
      </w:pPr>
      <w:r w:rsidDel="00000000" w:rsidR="00000000" w:rsidRPr="00000000">
        <w:rPr>
          <w:rtl w:val="0"/>
        </w:rPr>
        <w:t xml:space="preserve">такими, що не були у використанні, демонстрації або тестовій експлуатації;</w:t>
      </w:r>
    </w:p>
    <w:p w:rsidR="00000000" w:rsidDel="00000000" w:rsidP="00000000" w:rsidRDefault="00000000" w:rsidRPr="00000000" w14:paraId="0000001D">
      <w:pPr>
        <w:numPr>
          <w:ilvl w:val="0"/>
          <w:numId w:val="5"/>
        </w:numPr>
        <w:spacing w:after="0" w:before="0" w:line="240" w:lineRule="auto"/>
        <w:ind w:left="-360" w:right="-720" w:firstLine="0"/>
        <w:jc w:val="both"/>
        <w:rPr/>
      </w:pPr>
      <w:r w:rsidDel="00000000" w:rsidR="00000000" w:rsidRPr="00000000">
        <w:rPr>
          <w:rtl w:val="0"/>
        </w:rPr>
        <w:t xml:space="preserve">без механічних пошкоджень;</w:t>
      </w:r>
    </w:p>
    <w:p w:rsidR="00000000" w:rsidDel="00000000" w:rsidP="00000000" w:rsidRDefault="00000000" w:rsidRPr="00000000" w14:paraId="0000001E">
      <w:pPr>
        <w:numPr>
          <w:ilvl w:val="0"/>
          <w:numId w:val="5"/>
        </w:numPr>
        <w:spacing w:after="0" w:before="0" w:line="240" w:lineRule="auto"/>
        <w:ind w:left="-360" w:right="-720" w:firstLine="0"/>
        <w:jc w:val="both"/>
        <w:rPr/>
      </w:pPr>
      <w:r w:rsidDel="00000000" w:rsidR="00000000" w:rsidRPr="00000000">
        <w:rPr>
          <w:rtl w:val="0"/>
        </w:rPr>
        <w:t xml:space="preserve">придатними до використання за призначенням;</w:t>
      </w:r>
    </w:p>
    <w:p w:rsidR="00000000" w:rsidDel="00000000" w:rsidP="00000000" w:rsidRDefault="00000000" w:rsidRPr="00000000" w14:paraId="0000001F">
      <w:pPr>
        <w:numPr>
          <w:ilvl w:val="0"/>
          <w:numId w:val="5"/>
        </w:numPr>
        <w:spacing w:after="0" w:before="0" w:line="240" w:lineRule="auto"/>
        <w:ind w:left="-360" w:right="-720" w:firstLine="0"/>
        <w:jc w:val="both"/>
        <w:rPr/>
      </w:pPr>
      <w:r w:rsidDel="00000000" w:rsidR="00000000" w:rsidRPr="00000000">
        <w:rPr>
          <w:rtl w:val="0"/>
        </w:rPr>
        <w:t xml:space="preserve">з чинним та достатнім терміном придатності відповідно до вимог цього Технічного завдання.</w:t>
      </w:r>
    </w:p>
    <w:p w:rsidR="00000000" w:rsidDel="00000000" w:rsidP="00000000" w:rsidRDefault="00000000" w:rsidRPr="00000000" w14:paraId="00000020">
      <w:pPr>
        <w:pStyle w:val="Heading2"/>
        <w:keepNext w:val="0"/>
        <w:keepLines w:val="0"/>
        <w:spacing w:after="0" w:before="0" w:line="240" w:lineRule="auto"/>
        <w:ind w:left="-360" w:right="-720" w:firstLine="0"/>
        <w:jc w:val="both"/>
        <w:rPr>
          <w:b w:val="1"/>
          <w:bCs w:val="1"/>
          <w:sz w:val="22"/>
          <w:szCs w:val="22"/>
        </w:rPr>
      </w:pPr>
      <w:bookmarkStart w:colFirst="0" w:colLast="0" w:name="_heading=h.yw1cwcrt6ex" w:id="7"/>
      <w:bookmarkEnd w:id="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Style w:val="Heading2"/>
        <w:keepNext w:val="0"/>
        <w:keepLines w:val="0"/>
        <w:spacing w:after="0" w:before="0" w:line="240" w:lineRule="auto"/>
        <w:ind w:left="-360" w:right="-720" w:firstLine="0"/>
        <w:jc w:val="both"/>
        <w:rPr>
          <w:b w:val="1"/>
          <w:bCs w:val="1"/>
          <w:sz w:val="22"/>
          <w:szCs w:val="22"/>
        </w:rPr>
      </w:pPr>
      <w:bookmarkStart w:colFirst="0" w:colLast="0" w:name="_heading=h.2rgdd9yt6a83" w:id="8"/>
      <w:bookmarkEnd w:id="8"/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5. Технічні та функціональні вимоги</w:t>
      </w:r>
    </w:p>
    <w:p w:rsidR="00000000" w:rsidDel="00000000" w:rsidP="00000000" w:rsidRDefault="00000000" w:rsidRPr="00000000" w14:paraId="00000022">
      <w:pPr>
        <w:pStyle w:val="Heading3"/>
        <w:keepNext w:val="0"/>
        <w:keepLines w:val="0"/>
        <w:spacing w:after="0" w:before="0" w:line="240" w:lineRule="auto"/>
        <w:ind w:left="-360" w:right="-720" w:firstLine="0"/>
        <w:jc w:val="both"/>
        <w:rPr>
          <w:b w:val="1"/>
          <w:bCs w:val="1"/>
          <w:color w:val="000000"/>
          <w:sz w:val="22"/>
          <w:szCs w:val="22"/>
        </w:rPr>
      </w:pPr>
      <w:bookmarkStart w:colFirst="0" w:colLast="0" w:name="_heading=h.lf11jnujz2zi" w:id="9"/>
      <w:bookmarkEnd w:id="9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5.1. Склад аптечного боксу</w:t>
      </w:r>
    </w:p>
    <w:p w:rsidR="00000000" w:rsidDel="00000000" w:rsidP="00000000" w:rsidRDefault="00000000" w:rsidRPr="00000000" w14:paraId="00000023">
      <w:pPr>
        <w:spacing w:after="0" w:before="0" w:line="240" w:lineRule="auto"/>
        <w:ind w:left="-360" w:right="-720" w:firstLine="0"/>
        <w:jc w:val="both"/>
        <w:rPr/>
      </w:pPr>
      <w:r w:rsidDel="00000000" w:rsidR="00000000" w:rsidRPr="00000000">
        <w:rPr>
          <w:rtl w:val="0"/>
        </w:rPr>
        <w:t xml:space="preserve">Аптечний бокс має включати щонайменше такі позиції:</w:t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spacing w:after="0" w:before="0" w:line="240" w:lineRule="auto"/>
        <w:ind w:left="-360" w:right="-720" w:firstLine="0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Бинт кровоспинний гофрований гемостатичний 7,5см х 360см </w:t>
      </w:r>
      <w:r w:rsidDel="00000000" w:rsidR="00000000" w:rsidRPr="00000000">
        <w:rPr>
          <w:rtl w:val="0"/>
        </w:rPr>
        <w:t xml:space="preserve"> – 7 шт</w:t>
        <w:br w:type="textWrapping"/>
        <w:t xml:space="preserve">На основі каоліну або хітозану.</w:t>
        <w:br w:type="textWrapping"/>
        <w:t xml:space="preserve">Стерильний, призначений для зупинки масивної кровотечі.</w:t>
        <w:br w:type="textWrapping"/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spacing w:after="0" w:before="0" w:line="240" w:lineRule="auto"/>
        <w:ind w:left="-360" w:right="-720" w:firstLine="0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Турнікет артеріальний (джгут кровоспинний)</w:t>
      </w:r>
      <w:r w:rsidDel="00000000" w:rsidR="00000000" w:rsidRPr="00000000">
        <w:rPr>
          <w:rtl w:val="0"/>
        </w:rPr>
        <w:t xml:space="preserve"> – 5 шт</w:t>
        <w:br w:type="textWrapping"/>
        <w:t xml:space="preserve">Тип windlass (закрутка), для зупинки критичної кровотечі з кінцівок, з можливістю одноручного застосування. Модель має бути рекомендована CoTCCC (TCCC Recommended).</w:t>
        <w:br w:type="textWrapping"/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spacing w:after="0" w:before="0" w:line="240" w:lineRule="auto"/>
        <w:ind w:left="-360" w:right="-720" w:firstLine="0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Марлевий бинт нестерильний</w:t>
      </w:r>
      <w:r w:rsidDel="00000000" w:rsidR="00000000" w:rsidRPr="00000000">
        <w:rPr>
          <w:rtl w:val="0"/>
        </w:rPr>
        <w:t xml:space="preserve"> – 14 шт</w:t>
        <w:br w:type="textWrapping"/>
        <w:t xml:space="preserve">Розмір </w:t>
      </w:r>
      <w:r w:rsidDel="00000000" w:rsidR="00000000" w:rsidRPr="00000000">
        <w:rPr>
          <w:rtl w:val="0"/>
        </w:rPr>
        <w:t xml:space="preserve">10 см х 5м</w:t>
      </w:r>
      <w:r w:rsidDel="00000000" w:rsidR="00000000" w:rsidRPr="00000000">
        <w:rPr>
          <w:rtl w:val="0"/>
        </w:rPr>
        <w:t xml:space="preserve">.</w:t>
        <w:br w:type="textWrapping"/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spacing w:after="0" w:before="0" w:line="240" w:lineRule="auto"/>
        <w:ind w:left="-360" w:right="-720" w:firstLine="0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Бандаж перев'язувальний компресійний "ізраїльського типу"</w:t>
      </w:r>
      <w:r w:rsidDel="00000000" w:rsidR="00000000" w:rsidRPr="00000000">
        <w:rPr>
          <w:rtl w:val="0"/>
        </w:rPr>
        <w:t xml:space="preserve"> – 7 шт</w:t>
        <w:br w:type="textWrapping"/>
        <w:t xml:space="preserve">Розмір 6".</w:t>
      </w:r>
      <w:r w:rsidDel="00000000" w:rsidR="00000000" w:rsidRPr="00000000">
        <w:rPr>
          <w:rtl w:val="0"/>
        </w:rPr>
        <w:t xml:space="preserve">(дозволяється надати в пропозицію альтернативний виріб українського виробництва)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0"/>
          <w:numId w:val="3"/>
        </w:numPr>
        <w:spacing w:after="0" w:before="0" w:line="240" w:lineRule="auto"/>
        <w:ind w:left="-360" w:right="-720" w:firstLine="0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Термовідбивна ковдра (ізотермічна)</w:t>
      </w:r>
      <w:r w:rsidDel="00000000" w:rsidR="00000000" w:rsidRPr="00000000">
        <w:rPr>
          <w:rtl w:val="0"/>
        </w:rPr>
        <w:t xml:space="preserve"> – 10 шт</w:t>
        <w:br w:type="textWrapping"/>
        <w:t xml:space="preserve">Розмір не менше 1500 × 2100 мм. (або еквівалент)</w:t>
        <w:br w:type="textWrapping"/>
      </w:r>
    </w:p>
    <w:p w:rsidR="00000000" w:rsidDel="00000000" w:rsidP="00000000" w:rsidRDefault="00000000" w:rsidRPr="00000000" w14:paraId="00000029">
      <w:pPr>
        <w:numPr>
          <w:ilvl w:val="0"/>
          <w:numId w:val="3"/>
        </w:numPr>
        <w:spacing w:after="0" w:before="0" w:line="240" w:lineRule="auto"/>
        <w:ind w:left="-360" w:right="-720" w:firstLine="0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Нітрилові рукавички</w:t>
      </w:r>
      <w:r w:rsidDel="00000000" w:rsidR="00000000" w:rsidRPr="00000000">
        <w:rPr>
          <w:rtl w:val="0"/>
        </w:rPr>
        <w:t xml:space="preserve"> – 10 пар</w:t>
        <w:br w:type="textWrapping"/>
        <w:t xml:space="preserve">Нестерильні, одноразові, розмір L.</w:t>
        <w:br w:type="textWrapping"/>
      </w:r>
    </w:p>
    <w:p w:rsidR="00000000" w:rsidDel="00000000" w:rsidP="00000000" w:rsidRDefault="00000000" w:rsidRPr="00000000" w14:paraId="0000002A">
      <w:pPr>
        <w:numPr>
          <w:ilvl w:val="0"/>
          <w:numId w:val="3"/>
        </w:numPr>
        <w:spacing w:after="0" w:before="0" w:line="240" w:lineRule="auto"/>
        <w:ind w:left="-360" w:right="-720" w:firstLine="0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Атравматичні ножиці (тактичні)</w:t>
      </w:r>
      <w:r w:rsidDel="00000000" w:rsidR="00000000" w:rsidRPr="00000000">
        <w:rPr>
          <w:rtl w:val="0"/>
        </w:rPr>
        <w:t xml:space="preserve"> – 1 шт</w:t>
        <w:br w:type="textWrapping"/>
        <w:t xml:space="preserve">Зі скругленим кінцем, придатні для розрізання одягу та бинтів.</w:t>
        <w:br w:type="textWrapping"/>
      </w:r>
    </w:p>
    <w:p w:rsidR="00000000" w:rsidDel="00000000" w:rsidP="00000000" w:rsidRDefault="00000000" w:rsidRPr="00000000" w14:paraId="0000002B">
      <w:pPr>
        <w:numPr>
          <w:ilvl w:val="0"/>
          <w:numId w:val="3"/>
        </w:numPr>
        <w:spacing w:after="0" w:before="0" w:line="240" w:lineRule="auto"/>
        <w:ind w:left="-360" w:right="-720" w:firstLine="0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Маркер перманентний з фіксатором</w:t>
      </w:r>
      <w:r w:rsidDel="00000000" w:rsidR="00000000" w:rsidRPr="00000000">
        <w:rPr>
          <w:rtl w:val="0"/>
        </w:rPr>
        <w:t xml:space="preserve">– 1 шт</w:t>
        <w:br w:type="textWrapping"/>
        <w:t xml:space="preserve">Чорний, вологостійкий, придатний для нанесення написів у польових умовах.</w:t>
        <w:br w:type="textWrapping"/>
      </w:r>
    </w:p>
    <w:p w:rsidR="00000000" w:rsidDel="00000000" w:rsidP="00000000" w:rsidRDefault="00000000" w:rsidRPr="00000000" w14:paraId="0000002C">
      <w:pPr>
        <w:numPr>
          <w:ilvl w:val="0"/>
          <w:numId w:val="3"/>
        </w:numPr>
        <w:spacing w:after="0" w:before="0" w:line="240" w:lineRule="auto"/>
        <w:ind w:left="-360" w:right="-720" w:firstLine="0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Пластир медичний у котушці</w:t>
      </w:r>
      <w:r w:rsidDel="00000000" w:rsidR="00000000" w:rsidRPr="00000000">
        <w:rPr>
          <w:rtl w:val="0"/>
        </w:rPr>
        <w:t xml:space="preserve"> – 2 шт</w:t>
        <w:br w:type="textWrapping"/>
        <w:t xml:space="preserve">Ширина не менше 1.25 см, довжина не менше 5 м.</w:t>
        <w:br w:type="textWrapping"/>
      </w:r>
    </w:p>
    <w:p w:rsidR="00000000" w:rsidDel="00000000" w:rsidP="00000000" w:rsidRDefault="00000000" w:rsidRPr="00000000" w14:paraId="0000002D">
      <w:pPr>
        <w:widowControl w:val="0"/>
        <w:spacing w:after="0" w:before="0" w:line="240" w:lineRule="auto"/>
        <w:ind w:left="-360" w:right="-7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Style w:val="Heading2"/>
        <w:keepNext w:val="0"/>
        <w:keepLines w:val="0"/>
        <w:spacing w:after="0" w:before="0" w:line="240" w:lineRule="auto"/>
        <w:ind w:left="-360" w:right="-720" w:firstLine="0"/>
        <w:jc w:val="both"/>
        <w:rPr>
          <w:b w:val="1"/>
          <w:bCs w:val="1"/>
          <w:sz w:val="22"/>
          <w:szCs w:val="22"/>
        </w:rPr>
      </w:pPr>
      <w:bookmarkStart w:colFirst="0" w:colLast="0" w:name="_heading=h.vrc3qqjh8ax4" w:id="10"/>
      <w:bookmarkEnd w:id="10"/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6. Вимоги до безпеки та відповідності</w:t>
      </w:r>
    </w:p>
    <w:p w:rsidR="00000000" w:rsidDel="00000000" w:rsidP="00000000" w:rsidRDefault="00000000" w:rsidRPr="00000000" w14:paraId="0000002F">
      <w:pPr>
        <w:spacing w:after="0" w:before="0" w:line="240" w:lineRule="auto"/>
        <w:ind w:left="-360" w:right="-720" w:firstLine="0"/>
        <w:jc w:val="both"/>
        <w:rPr/>
      </w:pPr>
      <w:r w:rsidDel="00000000" w:rsidR="00000000" w:rsidRPr="00000000">
        <w:rPr>
          <w:rtl w:val="0"/>
        </w:rPr>
        <w:t xml:space="preserve">Усі медичні вироби та інші товари, що входять до складу аптечного боксу, повинні мати заводське маркування виробника, номер партії (lot) та/або серійний номер (за наявності), а також дату виробництва або кінцевий термін придатності та мають:</w:t>
      </w:r>
    </w:p>
    <w:p w:rsidR="00000000" w:rsidDel="00000000" w:rsidP="00000000" w:rsidRDefault="00000000" w:rsidRPr="00000000" w14:paraId="00000030">
      <w:pPr>
        <w:numPr>
          <w:ilvl w:val="0"/>
          <w:numId w:val="6"/>
        </w:numPr>
        <w:spacing w:after="0" w:before="0" w:line="240" w:lineRule="auto"/>
        <w:ind w:left="-360" w:right="-720" w:firstLine="0"/>
        <w:jc w:val="both"/>
        <w:rPr/>
      </w:pPr>
      <w:r w:rsidDel="00000000" w:rsidR="00000000" w:rsidRPr="00000000">
        <w:rPr>
          <w:rtl w:val="0"/>
        </w:rPr>
        <w:t xml:space="preserve">відповідати вимогам чинного законодавства України;</w:t>
      </w:r>
    </w:p>
    <w:p w:rsidR="00000000" w:rsidDel="00000000" w:rsidP="00000000" w:rsidRDefault="00000000" w:rsidRPr="00000000" w14:paraId="00000031">
      <w:pPr>
        <w:numPr>
          <w:ilvl w:val="0"/>
          <w:numId w:val="6"/>
        </w:numPr>
        <w:spacing w:after="0" w:before="0" w:line="240" w:lineRule="auto"/>
        <w:ind w:left="-360" w:right="-720" w:firstLine="0"/>
        <w:jc w:val="both"/>
        <w:rPr/>
      </w:pPr>
      <w:r w:rsidDel="00000000" w:rsidR="00000000" w:rsidRPr="00000000">
        <w:rPr>
          <w:rtl w:val="0"/>
        </w:rPr>
        <w:t xml:space="preserve">бути дозволеними до обігу та використання на території України;</w:t>
      </w:r>
    </w:p>
    <w:p w:rsidR="00000000" w:rsidDel="00000000" w:rsidP="00000000" w:rsidRDefault="00000000" w:rsidRPr="00000000" w14:paraId="00000032">
      <w:pPr>
        <w:numPr>
          <w:ilvl w:val="0"/>
          <w:numId w:val="6"/>
        </w:numPr>
        <w:spacing w:after="0" w:before="0" w:line="240" w:lineRule="auto"/>
        <w:ind w:left="-360" w:right="-720" w:firstLine="0"/>
        <w:jc w:val="both"/>
        <w:rPr/>
      </w:pPr>
      <w:r w:rsidDel="00000000" w:rsidR="00000000" w:rsidRPr="00000000">
        <w:rPr>
          <w:rtl w:val="0"/>
        </w:rPr>
        <w:t xml:space="preserve">супроводжуватися документами, що підтверджують якість та безпечність (за потреби);</w:t>
      </w:r>
    </w:p>
    <w:p w:rsidR="00000000" w:rsidDel="00000000" w:rsidP="00000000" w:rsidRDefault="00000000" w:rsidRPr="00000000" w14:paraId="00000033">
      <w:pPr>
        <w:numPr>
          <w:ilvl w:val="0"/>
          <w:numId w:val="6"/>
        </w:numPr>
        <w:spacing w:after="0" w:before="0" w:line="240" w:lineRule="auto"/>
        <w:ind w:left="-360" w:right="-720" w:firstLine="0"/>
        <w:jc w:val="both"/>
        <w:rPr/>
      </w:pPr>
      <w:r w:rsidDel="00000000" w:rsidR="00000000" w:rsidRPr="00000000">
        <w:rPr>
          <w:rtl w:val="0"/>
        </w:rPr>
        <w:t xml:space="preserve">мати залишковий термін придатності не менше 24 місяців на дату фактичної поставки;</w:t>
      </w:r>
    </w:p>
    <w:p w:rsidR="00000000" w:rsidDel="00000000" w:rsidP="00000000" w:rsidRDefault="00000000" w:rsidRPr="00000000" w14:paraId="00000034">
      <w:pPr>
        <w:numPr>
          <w:ilvl w:val="0"/>
          <w:numId w:val="6"/>
        </w:numPr>
        <w:spacing w:after="0" w:before="0" w:line="240" w:lineRule="auto"/>
        <w:ind w:left="-360" w:right="-720" w:firstLine="0"/>
        <w:jc w:val="both"/>
        <w:rPr/>
      </w:pPr>
      <w:r w:rsidDel="00000000" w:rsidR="00000000" w:rsidRPr="00000000">
        <w:rPr>
          <w:rtl w:val="0"/>
        </w:rPr>
        <w:t xml:space="preserve">супроводжуватися інформацією про кінцевий термін придатності по кожній позиції окремо.</w:t>
      </w:r>
    </w:p>
    <w:p w:rsidR="00000000" w:rsidDel="00000000" w:rsidP="00000000" w:rsidRDefault="00000000" w:rsidRPr="00000000" w14:paraId="00000035">
      <w:pPr>
        <w:pStyle w:val="Heading2"/>
        <w:keepNext w:val="0"/>
        <w:keepLines w:val="0"/>
        <w:spacing w:after="0" w:before="0" w:line="240" w:lineRule="auto"/>
        <w:ind w:left="-360" w:right="-720" w:firstLine="0"/>
        <w:jc w:val="both"/>
        <w:rPr>
          <w:b w:val="1"/>
          <w:bCs w:val="1"/>
          <w:sz w:val="22"/>
          <w:szCs w:val="22"/>
        </w:rPr>
      </w:pPr>
      <w:bookmarkStart w:colFirst="0" w:colLast="0" w:name="_heading=h.x65nf76u0blc" w:id="11"/>
      <w:bookmarkEnd w:id="1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Style w:val="Heading2"/>
        <w:keepNext w:val="0"/>
        <w:keepLines w:val="0"/>
        <w:spacing w:after="0" w:before="0" w:line="240" w:lineRule="auto"/>
        <w:ind w:left="-360" w:right="-720" w:firstLine="0"/>
        <w:jc w:val="both"/>
        <w:rPr>
          <w:b w:val="1"/>
          <w:bCs w:val="1"/>
          <w:sz w:val="22"/>
          <w:szCs w:val="22"/>
        </w:rPr>
      </w:pPr>
      <w:bookmarkStart w:colFirst="0" w:colLast="0" w:name="_heading=h.weewmauc7ao3" w:id="12"/>
      <w:bookmarkEnd w:id="12"/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7. Пакування та комплектність</w:t>
      </w:r>
    </w:p>
    <w:p w:rsidR="00000000" w:rsidDel="00000000" w:rsidP="00000000" w:rsidRDefault="00000000" w:rsidRPr="00000000" w14:paraId="00000037">
      <w:pPr>
        <w:spacing w:after="0" w:before="0" w:line="240" w:lineRule="auto"/>
        <w:ind w:left="-360" w:right="-720" w:firstLine="0"/>
        <w:jc w:val="both"/>
        <w:rPr/>
      </w:pPr>
      <w:r w:rsidDel="00000000" w:rsidR="00000000" w:rsidRPr="00000000">
        <w:rPr>
          <w:rtl w:val="0"/>
        </w:rPr>
        <w:t xml:space="preserve">Аптечний бокс має бути:</w:t>
      </w:r>
    </w:p>
    <w:p w:rsidR="00000000" w:rsidDel="00000000" w:rsidP="00000000" w:rsidRDefault="00000000" w:rsidRPr="00000000" w14:paraId="00000038">
      <w:pPr>
        <w:numPr>
          <w:ilvl w:val="0"/>
          <w:numId w:val="1"/>
        </w:numPr>
        <w:spacing w:after="0" w:before="0" w:line="240" w:lineRule="auto"/>
        <w:ind w:left="-360" w:right="-720" w:firstLine="0"/>
        <w:jc w:val="both"/>
        <w:rPr/>
      </w:pPr>
      <w:r w:rsidDel="00000000" w:rsidR="00000000" w:rsidRPr="00000000">
        <w:rPr>
          <w:rtl w:val="0"/>
        </w:rPr>
        <w:t xml:space="preserve">укомплектований відповідно до цього Технічного завдання;</w:t>
      </w:r>
    </w:p>
    <w:p w:rsidR="00000000" w:rsidDel="00000000" w:rsidP="00000000" w:rsidRDefault="00000000" w:rsidRPr="00000000" w14:paraId="00000039">
      <w:pPr>
        <w:numPr>
          <w:ilvl w:val="0"/>
          <w:numId w:val="1"/>
        </w:numPr>
        <w:spacing w:after="0" w:before="0" w:line="240" w:lineRule="auto"/>
        <w:ind w:left="-360" w:right="-720" w:firstLine="0"/>
        <w:jc w:val="both"/>
        <w:rPr/>
      </w:pPr>
      <w:r w:rsidDel="00000000" w:rsidR="00000000" w:rsidRPr="00000000">
        <w:rPr>
          <w:rtl w:val="0"/>
        </w:rPr>
        <w:t xml:space="preserve">упакований таким чином, щоб забезпечити збереження цілісності та функціональності вмісту під час транспортування.</w:t>
      </w:r>
    </w:p>
    <w:p w:rsidR="00000000" w:rsidDel="00000000" w:rsidP="00000000" w:rsidRDefault="00000000" w:rsidRPr="00000000" w14:paraId="0000003A">
      <w:pPr>
        <w:spacing w:after="0" w:before="0" w:line="240" w:lineRule="auto"/>
        <w:ind w:left="-360" w:right="-720" w:firstLine="0"/>
        <w:jc w:val="both"/>
        <w:rPr/>
      </w:pPr>
      <w:r w:rsidDel="00000000" w:rsidR="00000000" w:rsidRPr="00000000">
        <w:rPr>
          <w:rtl w:val="0"/>
        </w:rPr>
        <w:t xml:space="preserve">Пакування має забезпечувати збереження товарів під час транспортування та багаторазового переміщення.</w:t>
      </w:r>
    </w:p>
    <w:p w:rsidR="00000000" w:rsidDel="00000000" w:rsidP="00000000" w:rsidRDefault="00000000" w:rsidRPr="00000000" w14:paraId="0000003B">
      <w:pPr>
        <w:pStyle w:val="Heading2"/>
        <w:keepNext w:val="0"/>
        <w:keepLines w:val="0"/>
        <w:spacing w:after="0" w:before="0" w:line="240" w:lineRule="auto"/>
        <w:ind w:left="-360" w:right="-720" w:firstLine="0"/>
        <w:jc w:val="both"/>
        <w:rPr>
          <w:b w:val="1"/>
          <w:bCs w:val="1"/>
          <w:sz w:val="22"/>
          <w:szCs w:val="22"/>
        </w:rPr>
      </w:pPr>
      <w:bookmarkStart w:colFirst="0" w:colLast="0" w:name="_heading=h.ds9fr3nj5jmp" w:id="13"/>
      <w:bookmarkEnd w:id="1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Style w:val="Heading2"/>
        <w:keepNext w:val="0"/>
        <w:keepLines w:val="0"/>
        <w:spacing w:after="0" w:before="0" w:line="240" w:lineRule="auto"/>
        <w:ind w:left="-360" w:right="-720" w:firstLine="0"/>
        <w:jc w:val="both"/>
        <w:rPr>
          <w:b w:val="1"/>
          <w:bCs w:val="1"/>
          <w:sz w:val="22"/>
          <w:szCs w:val="22"/>
        </w:rPr>
      </w:pPr>
      <w:bookmarkStart w:colFirst="0" w:colLast="0" w:name="_heading=h.sxj5bf4y46cu" w:id="14"/>
      <w:bookmarkEnd w:id="14"/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8. Документація</w:t>
      </w:r>
    </w:p>
    <w:p w:rsidR="00000000" w:rsidDel="00000000" w:rsidP="00000000" w:rsidRDefault="00000000" w:rsidRPr="00000000" w14:paraId="0000003D">
      <w:pPr>
        <w:spacing w:after="0" w:before="0" w:line="240" w:lineRule="auto"/>
        <w:ind w:left="-360" w:right="-720" w:firstLine="0"/>
        <w:jc w:val="both"/>
        <w:rPr/>
      </w:pPr>
      <w:r w:rsidDel="00000000" w:rsidR="00000000" w:rsidRPr="00000000">
        <w:rPr>
          <w:rtl w:val="0"/>
        </w:rPr>
        <w:t xml:space="preserve">Постачальник зобов’язаний надати:</w:t>
      </w:r>
    </w:p>
    <w:p w:rsidR="00000000" w:rsidDel="00000000" w:rsidP="00000000" w:rsidRDefault="00000000" w:rsidRPr="00000000" w14:paraId="0000003E">
      <w:pPr>
        <w:numPr>
          <w:ilvl w:val="0"/>
          <w:numId w:val="2"/>
        </w:numPr>
        <w:spacing w:after="0" w:before="0" w:line="240" w:lineRule="auto"/>
        <w:ind w:left="-360" w:right="-720" w:firstLine="0"/>
        <w:jc w:val="both"/>
        <w:rPr/>
      </w:pPr>
      <w:r w:rsidDel="00000000" w:rsidR="00000000" w:rsidRPr="00000000">
        <w:rPr>
          <w:rtl w:val="0"/>
        </w:rPr>
        <w:t xml:space="preserve">перелік товарів із зазначенням кількості по кожній позиції;</w:t>
      </w:r>
    </w:p>
    <w:p w:rsidR="00000000" w:rsidDel="00000000" w:rsidP="00000000" w:rsidRDefault="00000000" w:rsidRPr="00000000" w14:paraId="0000003F">
      <w:pPr>
        <w:numPr>
          <w:ilvl w:val="0"/>
          <w:numId w:val="2"/>
        </w:numPr>
        <w:spacing w:after="0" w:before="0" w:line="240" w:lineRule="auto"/>
        <w:ind w:left="-360" w:right="-720" w:firstLine="0"/>
        <w:jc w:val="both"/>
        <w:rPr/>
      </w:pPr>
      <w:r w:rsidDel="00000000" w:rsidR="00000000" w:rsidRPr="00000000">
        <w:rPr>
          <w:rtl w:val="0"/>
        </w:rPr>
        <w:t xml:space="preserve">технічні описи або специфікації (за наявності);</w:t>
      </w:r>
    </w:p>
    <w:p w:rsidR="00000000" w:rsidDel="00000000" w:rsidP="00000000" w:rsidRDefault="00000000" w:rsidRPr="00000000" w14:paraId="00000040">
      <w:pPr>
        <w:numPr>
          <w:ilvl w:val="0"/>
          <w:numId w:val="2"/>
        </w:numPr>
        <w:spacing w:after="0" w:before="0" w:line="240" w:lineRule="auto"/>
        <w:ind w:left="-360" w:right="-720" w:firstLine="0"/>
        <w:jc w:val="both"/>
        <w:rPr/>
      </w:pPr>
      <w:r w:rsidDel="00000000" w:rsidR="00000000" w:rsidRPr="00000000">
        <w:rPr>
          <w:rtl w:val="0"/>
        </w:rPr>
        <w:t xml:space="preserve">документи відповідності медичних виробів;</w:t>
      </w:r>
    </w:p>
    <w:p w:rsidR="00000000" w:rsidDel="00000000" w:rsidP="00000000" w:rsidRDefault="00000000" w:rsidRPr="00000000" w14:paraId="00000041">
      <w:pPr>
        <w:numPr>
          <w:ilvl w:val="0"/>
          <w:numId w:val="2"/>
        </w:numPr>
        <w:spacing w:after="0" w:before="0" w:line="240" w:lineRule="auto"/>
        <w:ind w:left="-360" w:right="-720" w:firstLine="0"/>
        <w:jc w:val="both"/>
        <w:rPr/>
      </w:pPr>
      <w:r w:rsidDel="00000000" w:rsidR="00000000" w:rsidRPr="00000000">
        <w:rPr>
          <w:rtl w:val="0"/>
        </w:rPr>
        <w:t xml:space="preserve">інформацію щодо термінів придатності.</w:t>
      </w:r>
    </w:p>
    <w:p w:rsidR="00000000" w:rsidDel="00000000" w:rsidP="00000000" w:rsidRDefault="00000000" w:rsidRPr="00000000" w14:paraId="00000042">
      <w:pPr>
        <w:pStyle w:val="Heading2"/>
        <w:keepNext w:val="0"/>
        <w:keepLines w:val="0"/>
        <w:spacing w:after="0" w:before="0" w:line="240" w:lineRule="auto"/>
        <w:ind w:left="-360" w:right="-720" w:firstLine="0"/>
        <w:jc w:val="both"/>
        <w:rPr>
          <w:b w:val="1"/>
          <w:bCs w:val="1"/>
          <w:sz w:val="22"/>
          <w:szCs w:val="22"/>
        </w:rPr>
      </w:pPr>
      <w:bookmarkStart w:colFirst="0" w:colLast="0" w:name="_heading=h.lqbw87q7nt2b" w:id="15"/>
      <w:bookmarkEnd w:id="1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Style w:val="Heading2"/>
        <w:keepNext w:val="0"/>
        <w:keepLines w:val="0"/>
        <w:spacing w:after="0" w:before="0" w:line="240" w:lineRule="auto"/>
        <w:ind w:left="-360" w:right="-720" w:firstLine="0"/>
        <w:jc w:val="both"/>
        <w:rPr>
          <w:b w:val="1"/>
          <w:bCs w:val="1"/>
          <w:sz w:val="22"/>
          <w:szCs w:val="22"/>
        </w:rPr>
      </w:pPr>
      <w:bookmarkStart w:colFirst="0" w:colLast="0" w:name="_heading=h.oo7wvzrhq8t7" w:id="16"/>
      <w:bookmarkEnd w:id="16"/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9. Принцип еквівалентності</w:t>
      </w:r>
    </w:p>
    <w:p w:rsidR="00000000" w:rsidDel="00000000" w:rsidP="00000000" w:rsidRDefault="00000000" w:rsidRPr="00000000" w14:paraId="00000044">
      <w:pPr>
        <w:spacing w:after="0" w:before="0" w:line="240" w:lineRule="auto"/>
        <w:ind w:left="-360" w:right="-720" w:firstLine="0"/>
        <w:jc w:val="both"/>
        <w:rPr/>
      </w:pPr>
      <w:r w:rsidDel="00000000" w:rsidR="00000000" w:rsidRPr="00000000">
        <w:rPr>
          <w:rtl w:val="0"/>
        </w:rPr>
        <w:t xml:space="preserve">Усі вимоги цього Технічного завдання є мінімальними та функціональними.</w:t>
        <w:br w:type="textWrapping"/>
        <w:t xml:space="preserve">Допускається пропозиція еквівалентних товарів, що не є гіршими за сукупністю характеристик, функціонального призначення та якості. У разі пропозиції еквівалентних товарів учасник зобов’язаний надати технічні описи, специфікації або інші документи виробника, що підтверджують відповідність функціональним та якісним вимогам цього Технічного завдання.</w:t>
      </w:r>
    </w:p>
    <w:p w:rsidR="00000000" w:rsidDel="00000000" w:rsidP="00000000" w:rsidRDefault="00000000" w:rsidRPr="00000000" w14:paraId="00000045">
      <w:pPr>
        <w:pStyle w:val="Heading2"/>
        <w:keepNext w:val="0"/>
        <w:keepLines w:val="0"/>
        <w:spacing w:after="0" w:before="0" w:line="240" w:lineRule="auto"/>
        <w:ind w:left="-360" w:right="-720" w:firstLine="0"/>
        <w:jc w:val="both"/>
        <w:rPr>
          <w:b w:val="1"/>
          <w:bCs w:val="1"/>
          <w:sz w:val="22"/>
          <w:szCs w:val="22"/>
        </w:rPr>
      </w:pPr>
      <w:bookmarkStart w:colFirst="0" w:colLast="0" w:name="_heading=h.hdlk46b4hlx5" w:id="17"/>
      <w:bookmarkEnd w:id="1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Style w:val="Heading2"/>
        <w:keepNext w:val="0"/>
        <w:keepLines w:val="0"/>
        <w:spacing w:after="0" w:before="0" w:line="240" w:lineRule="auto"/>
        <w:ind w:left="-360" w:right="-720" w:firstLine="0"/>
        <w:jc w:val="both"/>
        <w:rPr>
          <w:b w:val="1"/>
          <w:bCs w:val="1"/>
          <w:sz w:val="22"/>
          <w:szCs w:val="22"/>
        </w:rPr>
      </w:pPr>
      <w:bookmarkStart w:colFirst="0" w:colLast="0" w:name="_heading=h.o8gps4ce6mtp" w:id="18"/>
      <w:bookmarkEnd w:id="18"/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10. Примітка</w:t>
      </w:r>
    </w:p>
    <w:p w:rsidR="00000000" w:rsidDel="00000000" w:rsidP="00000000" w:rsidRDefault="00000000" w:rsidRPr="00000000" w14:paraId="00000047">
      <w:pPr>
        <w:spacing w:after="0" w:before="0" w:line="240" w:lineRule="auto"/>
        <w:ind w:left="-360" w:right="-720" w:firstLine="0"/>
        <w:jc w:val="both"/>
        <w:rPr/>
      </w:pPr>
      <w:r w:rsidDel="00000000" w:rsidR="00000000" w:rsidRPr="00000000">
        <w:rPr>
          <w:rtl w:val="0"/>
        </w:rPr>
        <w:t xml:space="preserve">Невідповідність хоча б одному з обов’язкових мінімальних технічних або функціональних вимог цього Технічного завдання є підставою для відхилення тендерної пропозиції як такої, що не відповідає умовам закупівлі.</w:t>
      </w:r>
    </w:p>
    <w:p w:rsidR="00000000" w:rsidDel="00000000" w:rsidP="00000000" w:rsidRDefault="00000000" w:rsidRPr="00000000" w14:paraId="00000048">
      <w:pPr>
        <w:pStyle w:val="Heading2"/>
        <w:keepNext w:val="0"/>
        <w:keepLines w:val="0"/>
        <w:spacing w:after="0" w:before="0" w:line="240" w:lineRule="auto"/>
        <w:ind w:left="-360" w:right="-720" w:firstLine="0"/>
        <w:jc w:val="both"/>
        <w:rPr>
          <w:b w:val="1"/>
          <w:bCs w:val="1"/>
          <w:sz w:val="22"/>
          <w:szCs w:val="22"/>
        </w:rPr>
      </w:pPr>
      <w:bookmarkStart w:colFirst="0" w:colLast="0" w:name="_heading=h.bfw0m3q8116d" w:id="19"/>
      <w:bookmarkEnd w:id="1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Style w:val="Heading2"/>
        <w:keepNext w:val="0"/>
        <w:keepLines w:val="0"/>
        <w:spacing w:after="0" w:before="0" w:line="240" w:lineRule="auto"/>
        <w:ind w:left="-360" w:right="-720" w:firstLine="0"/>
        <w:jc w:val="both"/>
        <w:rPr>
          <w:b w:val="1"/>
          <w:bCs w:val="1"/>
          <w:sz w:val="22"/>
          <w:szCs w:val="22"/>
        </w:rPr>
      </w:pPr>
      <w:bookmarkStart w:colFirst="0" w:colLast="0" w:name="_heading=h.opj50iiw8v1e" w:id="20"/>
      <w:bookmarkEnd w:id="20"/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11. Контактна інформація та подання пропозицій</w:t>
      </w:r>
    </w:p>
    <w:p w:rsidR="00000000" w:rsidDel="00000000" w:rsidP="00000000" w:rsidRDefault="00000000" w:rsidRPr="00000000" w14:paraId="0000004A">
      <w:pPr>
        <w:spacing w:after="0" w:before="0" w:line="240" w:lineRule="auto"/>
        <w:ind w:left="-360" w:right="-720" w:firstLine="0"/>
        <w:jc w:val="both"/>
        <w:rPr/>
      </w:pPr>
      <w:r w:rsidDel="00000000" w:rsidR="00000000" w:rsidRPr="00000000">
        <w:rPr>
          <w:rtl w:val="0"/>
        </w:rPr>
        <w:t xml:space="preserve">Кінцевий термін подання тендерних пропозицій:</w:t>
        <w:br w:type="textWrapping"/>
      </w:r>
    </w:p>
    <w:p w:rsidR="00000000" w:rsidDel="00000000" w:rsidP="00000000" w:rsidRDefault="00000000" w:rsidRPr="00000000" w14:paraId="0000004B">
      <w:pPr>
        <w:spacing w:after="0" w:before="0" w:line="240" w:lineRule="auto"/>
        <w:ind w:left="-360" w:right="-720" w:firstLine="0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19 березня 2026 року, 18:00 (за київським часом)</w:t>
      </w:r>
    </w:p>
    <w:p w:rsidR="00000000" w:rsidDel="00000000" w:rsidP="00000000" w:rsidRDefault="00000000" w:rsidRPr="00000000" w14:paraId="0000004C">
      <w:pPr>
        <w:spacing w:after="0" w:before="0" w:line="240" w:lineRule="auto"/>
        <w:ind w:left="-360" w:right="-720" w:firstLine="0"/>
        <w:jc w:val="both"/>
        <w:rPr/>
      </w:pPr>
      <w:r w:rsidDel="00000000" w:rsidR="00000000" w:rsidRPr="00000000">
        <w:rPr>
          <w:rtl w:val="0"/>
        </w:rPr>
        <w:t xml:space="preserve">Email для подання пропозицій:</w:t>
        <w:br w:type="textWrapping"/>
        <w:t xml:space="preserve">📧 procurement@missionkharkiv.org</w:t>
      </w:r>
    </w:p>
    <w:p w:rsidR="00000000" w:rsidDel="00000000" w:rsidP="00000000" w:rsidRDefault="00000000" w:rsidRPr="00000000" w14:paraId="0000004D">
      <w:pPr>
        <w:spacing w:after="0" w:before="0" w:line="240" w:lineRule="auto"/>
        <w:ind w:left="-360" w:right="-720" w:firstLine="0"/>
        <w:jc w:val="both"/>
        <w:rPr/>
      </w:pPr>
      <w:r w:rsidDel="00000000" w:rsidR="00000000" w:rsidRPr="00000000">
        <w:rPr>
          <w:rtl w:val="0"/>
        </w:rPr>
        <w:t xml:space="preserve">Контактний підрозділ:</w:t>
        <w:br w:type="textWrapping"/>
        <w:t xml:space="preserve">Благодійна організація “Благодійний фонд «Місія Харків»”</w:t>
        <w:br w:type="textWrapping"/>
        <w:t xml:space="preserve">Відділ закупівлі та логістики</w:t>
      </w:r>
    </w:p>
    <w:p w:rsidR="00000000" w:rsidDel="00000000" w:rsidP="00000000" w:rsidRDefault="00000000" w:rsidRPr="00000000" w14:paraId="0000004E">
      <w:pPr>
        <w:spacing w:after="0" w:before="0" w:line="240" w:lineRule="auto"/>
        <w:ind w:left="-360" w:right="-720" w:firstLine="0"/>
        <w:jc w:val="both"/>
        <w:rPr/>
      </w:pPr>
      <w:r w:rsidDel="00000000" w:rsidR="00000000" w:rsidRPr="00000000">
        <w:rPr>
          <w:rtl w:val="0"/>
        </w:rPr>
        <w:t xml:space="preserve">Email: procurement@missionkharkiv.org</w:t>
        <w:br w:type="textWrapping"/>
        <w:t xml:space="preserve">Телефон: +38 097 671 82 41</w:t>
      </w:r>
    </w:p>
    <w:p w:rsidR="00000000" w:rsidDel="00000000" w:rsidP="00000000" w:rsidRDefault="00000000" w:rsidRPr="00000000" w14:paraId="0000004F">
      <w:pPr>
        <w:spacing w:after="0" w:before="0" w:line="240" w:lineRule="auto"/>
        <w:ind w:left="-360" w:right="-720" w:firstLine="0"/>
        <w:jc w:val="both"/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1">
    <w:pPr>
      <w:tabs>
        <w:tab w:val="center" w:leader="none" w:pos="4680"/>
        <w:tab w:val="right" w:leader="none" w:pos="9360"/>
        <w:tab w:val="left" w:leader="none" w:pos="7271"/>
      </w:tabs>
      <w:spacing w:line="240" w:lineRule="auto"/>
      <w:ind w:left="-567" w:firstLine="0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4743450</wp:posOffset>
          </wp:positionH>
          <wp:positionV relativeFrom="paragraph">
            <wp:posOffset>0</wp:posOffset>
          </wp:positionV>
          <wp:extent cx="1676400" cy="426720"/>
          <wp:effectExtent b="0" l="0" r="0" t="0"/>
          <wp:wrapTopAndBottom distB="0" distT="0"/>
          <wp:docPr descr="A black background with a black square&#10;&#10;AI-generated content may be incorrect." id="5" name="image2.png"/>
          <a:graphic>
            <a:graphicData uri="http://schemas.openxmlformats.org/drawingml/2006/picture">
              <pic:pic>
                <pic:nvPicPr>
                  <pic:cNvPr descr="A black background with a black square&#10;&#10;AI-generated content may be incorrect.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76400" cy="42672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-342899</wp:posOffset>
          </wp:positionH>
          <wp:positionV relativeFrom="paragraph">
            <wp:posOffset>19050</wp:posOffset>
          </wp:positionV>
          <wp:extent cx="1600203" cy="426721"/>
          <wp:effectExtent b="0" l="0" r="0" t="0"/>
          <wp:wrapTopAndBottom distB="0" distT="0"/>
          <wp:docPr descr="A black background with a black square&#10;&#10;AI-generated content may be incorrect." id="4" name="image3.png"/>
          <a:graphic>
            <a:graphicData uri="http://schemas.openxmlformats.org/drawingml/2006/picture">
              <pic:pic>
                <pic:nvPicPr>
                  <pic:cNvPr descr="A black background with a black square&#10;&#10;AI-generated content may be incorrect." id="0" name="image3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00203" cy="426721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52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0">
    <w:pPr>
      <w:rPr/>
    </w:pPr>
    <w:r w:rsidDel="00000000" w:rsidR="00000000" w:rsidRPr="00000000">
      <w:rPr/>
      <w:drawing>
        <wp:inline distB="114300" distT="114300" distL="114300" distR="114300">
          <wp:extent cx="2519363" cy="1006025"/>
          <wp:effectExtent b="0" l="0" r="0" t="0"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519363" cy="100602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cs="Times New Roman" w:eastAsia="Times New Roman" w:hAnsi="Times New Roman"/>
        <w:b w:val="0"/>
        <w:bCs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TTYxhnaBWcobtm1AuY9EhxOhpqA==">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