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EA2A" w14:textId="0394A4B9" w:rsidR="00F5780C" w:rsidRDefault="00F5780C" w:rsidP="00F5780C">
      <w:pPr>
        <w:rPr>
          <w:rFonts w:cstheme="minorHAnsi"/>
          <w:b/>
          <w:bCs/>
        </w:rPr>
      </w:pPr>
      <w:r>
        <w:rPr>
          <w:noProof/>
        </w:rPr>
        <w:drawing>
          <wp:inline distT="0" distB="0" distL="0" distR="0" wp14:anchorId="603A1A58" wp14:editId="301197D5">
            <wp:extent cx="1562100" cy="913840"/>
            <wp:effectExtent l="0" t="0" r="0" b="635"/>
            <wp:docPr id="2" name="Picture 2" descr="A picture containing screenshot, graphics,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graphics, fon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9608" cy="959183"/>
                    </a:xfrm>
                    <a:prstGeom prst="rect">
                      <a:avLst/>
                    </a:prstGeom>
                  </pic:spPr>
                </pic:pic>
              </a:graphicData>
            </a:graphic>
          </wp:inline>
        </w:drawing>
      </w:r>
    </w:p>
    <w:p w14:paraId="2DE58D7D" w14:textId="74517FF0" w:rsidR="00131119" w:rsidRPr="007B6671" w:rsidRDefault="000B73CE" w:rsidP="00131119">
      <w:pPr>
        <w:jc w:val="right"/>
        <w:rPr>
          <w:rFonts w:cstheme="minorHAnsi"/>
          <w:b/>
          <w:bCs/>
        </w:rPr>
      </w:pPr>
      <w:r w:rsidRPr="007B6671">
        <w:rPr>
          <w:rFonts w:cstheme="minorHAnsi"/>
          <w:b/>
          <w:bCs/>
          <w:lang w:val="ru-RU"/>
        </w:rPr>
        <w:t>Запит</w:t>
      </w:r>
      <w:r w:rsidRPr="005429B2">
        <w:rPr>
          <w:rFonts w:cstheme="minorHAnsi"/>
          <w:b/>
          <w:bCs/>
          <w:lang w:val="ru-RU"/>
        </w:rPr>
        <w:t xml:space="preserve"> </w:t>
      </w:r>
      <w:r w:rsidRPr="007B6671">
        <w:rPr>
          <w:rFonts w:cstheme="minorHAnsi"/>
          <w:b/>
          <w:bCs/>
          <w:lang w:val="ru-RU"/>
        </w:rPr>
        <w:t>цінової</w:t>
      </w:r>
      <w:r w:rsidRPr="005429B2">
        <w:rPr>
          <w:rFonts w:cstheme="minorHAnsi"/>
          <w:b/>
          <w:bCs/>
          <w:lang w:val="ru-RU"/>
        </w:rPr>
        <w:t xml:space="preserve"> </w:t>
      </w:r>
      <w:r w:rsidRPr="007B6671">
        <w:rPr>
          <w:rFonts w:cstheme="minorHAnsi"/>
          <w:b/>
          <w:bCs/>
          <w:lang w:val="ru-RU"/>
        </w:rPr>
        <w:t>пропозиції</w:t>
      </w:r>
      <w:r w:rsidRPr="005429B2">
        <w:rPr>
          <w:rFonts w:cstheme="minorHAnsi"/>
          <w:b/>
          <w:bCs/>
          <w:lang w:val="ru-RU"/>
        </w:rPr>
        <w:t xml:space="preserve"> </w:t>
      </w:r>
      <w:r w:rsidRPr="007B6671">
        <w:rPr>
          <w:rFonts w:cstheme="minorHAnsi"/>
          <w:b/>
          <w:bCs/>
        </w:rPr>
        <w:t>RFQ</w:t>
      </w:r>
      <w:r w:rsidRPr="005429B2">
        <w:rPr>
          <w:rFonts w:cstheme="minorHAnsi"/>
          <w:b/>
          <w:bCs/>
          <w:lang w:val="ru-RU"/>
        </w:rPr>
        <w:t xml:space="preserve"> </w:t>
      </w:r>
      <w:r w:rsidRPr="007B6671">
        <w:rPr>
          <w:rFonts w:cstheme="minorHAnsi"/>
          <w:b/>
          <w:bCs/>
          <w:lang w:val="uk-UA"/>
        </w:rPr>
        <w:t xml:space="preserve">№ </w:t>
      </w:r>
      <w:r w:rsidR="005C42AB">
        <w:rPr>
          <w:rFonts w:cstheme="minorHAnsi"/>
          <w:b/>
          <w:bCs/>
          <w:lang w:val="en-US"/>
        </w:rPr>
        <w:t>251106</w:t>
      </w:r>
      <w:r w:rsidR="00131119">
        <w:rPr>
          <w:rFonts w:cstheme="minorHAnsi"/>
          <w:b/>
          <w:bCs/>
          <w:lang w:val="en-US"/>
        </w:rPr>
        <w:t xml:space="preserve"> / </w:t>
      </w:r>
      <w:r w:rsidR="00131119" w:rsidRPr="007B6671">
        <w:rPr>
          <w:rFonts w:cstheme="minorHAnsi"/>
          <w:b/>
          <w:bCs/>
        </w:rPr>
        <w:t xml:space="preserve">Request for Quotations (RFQ) </w:t>
      </w:r>
      <w:r w:rsidR="00131119" w:rsidRPr="007B6671">
        <w:rPr>
          <w:rFonts w:cstheme="minorHAnsi"/>
          <w:b/>
          <w:bCs/>
          <w:lang w:val="uk-UA"/>
        </w:rPr>
        <w:t xml:space="preserve">№ </w:t>
      </w:r>
      <w:r w:rsidR="005C42AB">
        <w:rPr>
          <w:rFonts w:cstheme="minorHAnsi"/>
          <w:b/>
          <w:bCs/>
        </w:rPr>
        <w:t>251106</w:t>
      </w:r>
    </w:p>
    <w:p w14:paraId="2B754788" w14:textId="5D0452BF" w:rsidR="00131119" w:rsidRDefault="000B73CE" w:rsidP="4D1E45E2">
      <w:pPr>
        <w:jc w:val="both"/>
        <w:rPr>
          <w:sz w:val="20"/>
          <w:szCs w:val="20"/>
          <w:lang w:val="en-US"/>
        </w:rPr>
      </w:pPr>
      <w:r w:rsidRPr="4D1E45E2">
        <w:rPr>
          <w:b/>
          <w:bCs/>
          <w:sz w:val="20"/>
          <w:szCs w:val="20"/>
          <w:lang w:val="ru-RU"/>
        </w:rPr>
        <w:t xml:space="preserve">Проект 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 </w:t>
      </w:r>
      <w:r w:rsidR="00131119" w:rsidRPr="4D1E45E2">
        <w:rPr>
          <w:b/>
          <w:bCs/>
          <w:sz w:val="20"/>
          <w:szCs w:val="20"/>
          <w:lang w:val="en-US"/>
        </w:rPr>
        <w:t xml:space="preserve">/ </w:t>
      </w:r>
      <w:r w:rsidR="00131119" w:rsidRPr="4D1E45E2">
        <w:rPr>
          <w:b/>
          <w:bCs/>
          <w:sz w:val="20"/>
          <w:szCs w:val="20"/>
        </w:rPr>
        <w:t>International Technical Assistance Project “Enhancing Global Health Security: Strengthening Public Health Surveillance Systems and Preparedness Globally”, implemented by the Trustees of Columbia University in the City of New York through ICAP at the Mailman school of Public Health</w:t>
      </w:r>
    </w:p>
    <w:p w14:paraId="56910CD7" w14:textId="2FF80E99" w:rsidR="00131119" w:rsidRPr="00131119" w:rsidRDefault="00707BE7" w:rsidP="00131119">
      <w:pPr>
        <w:ind w:firstLine="720"/>
        <w:jc w:val="right"/>
        <w:rPr>
          <w:sz w:val="20"/>
          <w:szCs w:val="20"/>
        </w:rPr>
      </w:pPr>
      <w:r>
        <w:rPr>
          <w:sz w:val="20"/>
          <w:szCs w:val="20"/>
          <w:lang w:val="uk-UA"/>
        </w:rPr>
        <w:t>4</w:t>
      </w:r>
      <w:r w:rsidR="000B73CE" w:rsidRPr="00131119">
        <w:rPr>
          <w:sz w:val="20"/>
          <w:szCs w:val="20"/>
          <w:lang w:val="uk-UA"/>
        </w:rPr>
        <w:t xml:space="preserve"> </w:t>
      </w:r>
      <w:r>
        <w:rPr>
          <w:sz w:val="20"/>
          <w:szCs w:val="20"/>
          <w:lang w:val="uk-UA"/>
        </w:rPr>
        <w:t>лютого</w:t>
      </w:r>
      <w:r w:rsidR="000B73CE" w:rsidRPr="00131119">
        <w:rPr>
          <w:sz w:val="20"/>
          <w:szCs w:val="20"/>
          <w:lang w:val="uk-UA"/>
        </w:rPr>
        <w:t xml:space="preserve"> 202</w:t>
      </w:r>
      <w:r>
        <w:rPr>
          <w:sz w:val="20"/>
          <w:szCs w:val="20"/>
          <w:lang w:val="uk-UA"/>
        </w:rPr>
        <w:t>6</w:t>
      </w:r>
      <w:r w:rsidR="000B73CE" w:rsidRPr="00131119">
        <w:rPr>
          <w:sz w:val="20"/>
          <w:szCs w:val="20"/>
          <w:lang w:val="uk-UA"/>
        </w:rPr>
        <w:t xml:space="preserve"> року</w:t>
      </w:r>
      <w:r w:rsidR="00131119" w:rsidRPr="00131119">
        <w:rPr>
          <w:sz w:val="20"/>
          <w:szCs w:val="20"/>
          <w:lang w:val="en-US"/>
        </w:rPr>
        <w:t xml:space="preserve"> / </w:t>
      </w:r>
      <w:r>
        <w:rPr>
          <w:sz w:val="20"/>
          <w:szCs w:val="20"/>
        </w:rPr>
        <w:t>February</w:t>
      </w:r>
      <w:r w:rsidR="00131119" w:rsidRPr="00131119">
        <w:rPr>
          <w:sz w:val="20"/>
          <w:szCs w:val="20"/>
        </w:rPr>
        <w:t xml:space="preserve"> </w:t>
      </w:r>
      <w:r>
        <w:rPr>
          <w:sz w:val="20"/>
          <w:szCs w:val="20"/>
          <w:lang w:val="uk-UA"/>
        </w:rPr>
        <w:t>4</w:t>
      </w:r>
      <w:r w:rsidR="00131119" w:rsidRPr="00131119">
        <w:rPr>
          <w:sz w:val="20"/>
          <w:szCs w:val="20"/>
        </w:rPr>
        <w:t>, 2025</w:t>
      </w:r>
    </w:p>
    <w:p w14:paraId="71E3FE70" w14:textId="0FC7146F" w:rsidR="000B73CE" w:rsidRPr="005C42AB" w:rsidRDefault="000B73CE" w:rsidP="000B73CE">
      <w:pPr>
        <w:jc w:val="both"/>
        <w:rPr>
          <w:b/>
          <w:bCs/>
          <w:sz w:val="18"/>
          <w:szCs w:val="18"/>
          <w:lang w:val="uk-UA"/>
        </w:rPr>
      </w:pPr>
      <w:r w:rsidRPr="00131119">
        <w:rPr>
          <w:sz w:val="18"/>
          <w:szCs w:val="18"/>
          <w:lang w:val="ru-RU"/>
        </w:rPr>
        <w:t xml:space="preserve">1. Даним запитом пропонуємо Вам надати цінову пропозицію </w:t>
      </w:r>
      <w:r w:rsidRPr="00131119">
        <w:rPr>
          <w:sz w:val="18"/>
          <w:szCs w:val="18"/>
          <w:lang w:val="uk-UA"/>
        </w:rPr>
        <w:t xml:space="preserve">на надання послуг з </w:t>
      </w:r>
      <w:r w:rsidR="005C42AB">
        <w:rPr>
          <w:sz w:val="18"/>
          <w:szCs w:val="18"/>
          <w:lang w:val="uk-UA"/>
        </w:rPr>
        <w:t xml:space="preserve">організації </w:t>
      </w:r>
      <w:r w:rsidR="005C42AB" w:rsidRPr="005C42AB">
        <w:rPr>
          <w:b/>
          <w:bCs/>
          <w:sz w:val="18"/>
          <w:szCs w:val="18"/>
          <w:lang w:val="uk-UA"/>
        </w:rPr>
        <w:t>навчальн</w:t>
      </w:r>
      <w:r w:rsidR="005C42AB">
        <w:rPr>
          <w:b/>
          <w:bCs/>
          <w:sz w:val="18"/>
          <w:szCs w:val="18"/>
          <w:lang w:val="uk-UA"/>
        </w:rPr>
        <w:t>ого</w:t>
      </w:r>
      <w:r w:rsidR="005C42AB" w:rsidRPr="005C42AB">
        <w:rPr>
          <w:b/>
          <w:bCs/>
          <w:sz w:val="18"/>
          <w:szCs w:val="18"/>
          <w:lang w:val="uk-UA"/>
        </w:rPr>
        <w:t xml:space="preserve"> семінар</w:t>
      </w:r>
      <w:r w:rsidR="005C42AB">
        <w:rPr>
          <w:b/>
          <w:bCs/>
          <w:sz w:val="18"/>
          <w:szCs w:val="18"/>
          <w:lang w:val="uk-UA"/>
        </w:rPr>
        <w:t>у</w:t>
      </w:r>
      <w:r w:rsidR="005C42AB" w:rsidRPr="005C42AB">
        <w:rPr>
          <w:b/>
          <w:bCs/>
          <w:sz w:val="18"/>
          <w:szCs w:val="18"/>
          <w:lang w:val="uk-UA"/>
        </w:rPr>
        <w:t xml:space="preserve"> «Управління ризиками та забезпечення надійності результатів у бактеріологічних лабораторіях, акредитованих за стандартом ISO 15189:2022»</w:t>
      </w:r>
      <w:r w:rsidRPr="00131119">
        <w:rPr>
          <w:sz w:val="18"/>
          <w:szCs w:val="18"/>
          <w:lang w:val="uk-UA"/>
        </w:rPr>
        <w:t xml:space="preserve"> </w:t>
      </w:r>
      <w:r w:rsidRPr="00131119">
        <w:rPr>
          <w:sz w:val="18"/>
          <w:szCs w:val="18"/>
          <w:lang w:val="ru-RU"/>
        </w:rPr>
        <w:t>для Проекту 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w:t>
      </w:r>
      <w:r w:rsidRPr="00131119">
        <w:rPr>
          <w:b/>
          <w:bCs/>
          <w:sz w:val="18"/>
          <w:szCs w:val="18"/>
          <w:lang w:val="ru-RU"/>
        </w:rPr>
        <w:t xml:space="preserve"> </w:t>
      </w:r>
      <w:r w:rsidRPr="00131119">
        <w:rPr>
          <w:sz w:val="18"/>
          <w:szCs w:val="18"/>
          <w:lang w:val="ru-RU"/>
        </w:rPr>
        <w:t>(далі – “</w:t>
      </w:r>
      <w:r w:rsidRPr="00131119">
        <w:rPr>
          <w:sz w:val="18"/>
          <w:szCs w:val="18"/>
        </w:rPr>
        <w:t>ICAP</w:t>
      </w:r>
      <w:r w:rsidRPr="00131119">
        <w:rPr>
          <w:sz w:val="18"/>
          <w:szCs w:val="18"/>
          <w:lang w:val="ru-RU"/>
        </w:rPr>
        <w:t>”).</w:t>
      </w:r>
    </w:p>
    <w:p w14:paraId="52A51316" w14:textId="60DBB0C5" w:rsidR="000B73CE" w:rsidRPr="00460316" w:rsidRDefault="000B73CE" w:rsidP="000B73CE">
      <w:pPr>
        <w:jc w:val="both"/>
        <w:rPr>
          <w:rFonts w:cstheme="minorHAnsi"/>
          <w:sz w:val="18"/>
          <w:szCs w:val="18"/>
          <w:lang w:val="uk-UA"/>
        </w:rPr>
      </w:pPr>
      <w:r w:rsidRPr="00131119">
        <w:rPr>
          <w:rFonts w:cstheme="minorHAnsi"/>
          <w:sz w:val="18"/>
          <w:szCs w:val="18"/>
          <w:lang w:val="ru-RU"/>
        </w:rPr>
        <w:t>2. Скановану версію цінової пропозиції у форматі *.</w:t>
      </w:r>
      <w:r w:rsidRPr="00131119">
        <w:rPr>
          <w:rFonts w:cstheme="minorHAnsi"/>
          <w:sz w:val="18"/>
          <w:szCs w:val="18"/>
        </w:rPr>
        <w:t>pdf</w:t>
      </w:r>
      <w:r w:rsidRPr="00131119">
        <w:rPr>
          <w:rFonts w:cstheme="minorHAnsi"/>
          <w:sz w:val="18"/>
          <w:szCs w:val="18"/>
          <w:lang w:val="ru-RU"/>
        </w:rPr>
        <w:t xml:space="preserve"> </w:t>
      </w:r>
      <w:r w:rsidRPr="00131119">
        <w:rPr>
          <w:rFonts w:cstheme="minorHAnsi"/>
          <w:sz w:val="18"/>
          <w:szCs w:val="18"/>
          <w:lang w:val="uk-UA"/>
        </w:rPr>
        <w:t xml:space="preserve">та </w:t>
      </w:r>
      <w:r w:rsidRPr="00131119">
        <w:rPr>
          <w:rFonts w:cstheme="minorHAnsi"/>
          <w:sz w:val="18"/>
          <w:szCs w:val="18"/>
        </w:rPr>
        <w:t>Word</w:t>
      </w:r>
      <w:r w:rsidRPr="00131119">
        <w:rPr>
          <w:rFonts w:cstheme="minorHAnsi"/>
          <w:sz w:val="18"/>
          <w:szCs w:val="18"/>
          <w:lang w:val="ru-RU"/>
        </w:rPr>
        <w:t xml:space="preserve"> слід надіслати на електронну адресу: </w:t>
      </w:r>
      <w:hyperlink r:id="rId12" w:history="1">
        <w:r w:rsidRPr="00131119">
          <w:rPr>
            <w:rStyle w:val="Hyperlink"/>
            <w:rFonts w:cstheme="minorHAnsi"/>
            <w:sz w:val="18"/>
            <w:szCs w:val="18"/>
          </w:rPr>
          <w:t>procurement</w:t>
        </w:r>
        <w:r w:rsidRPr="00131119">
          <w:rPr>
            <w:rStyle w:val="Hyperlink"/>
            <w:rFonts w:cstheme="minorHAnsi"/>
            <w:sz w:val="18"/>
            <w:szCs w:val="18"/>
            <w:lang w:val="ru-RU"/>
          </w:rPr>
          <w:t>_</w:t>
        </w:r>
        <w:r w:rsidRPr="00131119">
          <w:rPr>
            <w:rStyle w:val="Hyperlink"/>
            <w:rFonts w:cstheme="minorHAnsi"/>
            <w:sz w:val="18"/>
            <w:szCs w:val="18"/>
          </w:rPr>
          <w:t>ua</w:t>
        </w:r>
        <w:r w:rsidRPr="00131119">
          <w:rPr>
            <w:rStyle w:val="Hyperlink"/>
            <w:rFonts w:cstheme="minorHAnsi"/>
            <w:sz w:val="18"/>
            <w:szCs w:val="18"/>
            <w:lang w:val="ru-RU"/>
          </w:rPr>
          <w:t>@cumc.columbia.edu</w:t>
        </w:r>
      </w:hyperlink>
      <w:r w:rsidRPr="00131119">
        <w:rPr>
          <w:sz w:val="18"/>
          <w:szCs w:val="18"/>
          <w:lang w:val="ru-RU"/>
        </w:rPr>
        <w:t xml:space="preserve"> </w:t>
      </w:r>
      <w:r w:rsidR="00460316">
        <w:rPr>
          <w:sz w:val="18"/>
          <w:szCs w:val="18"/>
          <w:lang w:val="uk-UA"/>
        </w:rPr>
        <w:t xml:space="preserve">та </w:t>
      </w:r>
      <w:hyperlink r:id="rId13" w:history="1">
        <w:r w:rsidR="00460316" w:rsidRPr="00813606">
          <w:rPr>
            <w:rStyle w:val="Hyperlink"/>
            <w:sz w:val="18"/>
            <w:szCs w:val="18"/>
            <w:lang w:val="en-US"/>
          </w:rPr>
          <w:t>icapukraine@gmail.com</w:t>
        </w:r>
      </w:hyperlink>
    </w:p>
    <w:p w14:paraId="21DA0B56" w14:textId="77777777" w:rsidR="000B73CE" w:rsidRPr="00131119" w:rsidRDefault="000B73CE" w:rsidP="000B73CE">
      <w:pPr>
        <w:jc w:val="both"/>
        <w:rPr>
          <w:rFonts w:cstheme="minorHAnsi"/>
          <w:sz w:val="18"/>
          <w:szCs w:val="18"/>
          <w:lang w:val="uk-UA"/>
        </w:rPr>
      </w:pPr>
      <w:r w:rsidRPr="00131119">
        <w:rPr>
          <w:rFonts w:cstheme="minorHAnsi"/>
          <w:sz w:val="18"/>
          <w:szCs w:val="18"/>
          <w:lang w:val="ru-RU"/>
        </w:rPr>
        <w:t xml:space="preserve">Будь ласка, в кажіть номер </w:t>
      </w:r>
      <w:r w:rsidRPr="00131119">
        <w:rPr>
          <w:rFonts w:cstheme="minorHAnsi"/>
          <w:sz w:val="18"/>
          <w:szCs w:val="18"/>
        </w:rPr>
        <w:t>RFQ</w:t>
      </w:r>
      <w:r w:rsidRPr="00131119">
        <w:rPr>
          <w:rFonts w:cstheme="minorHAnsi"/>
          <w:sz w:val="18"/>
          <w:szCs w:val="18"/>
          <w:lang w:val="ru-RU"/>
        </w:rPr>
        <w:t xml:space="preserve"> </w:t>
      </w:r>
      <w:r w:rsidRPr="00131119">
        <w:rPr>
          <w:rFonts w:cstheme="minorHAnsi"/>
          <w:sz w:val="18"/>
          <w:szCs w:val="18"/>
          <w:lang w:val="uk-UA"/>
        </w:rPr>
        <w:t>у темі листа.</w:t>
      </w:r>
    </w:p>
    <w:p w14:paraId="44F19BA3" w14:textId="130BFE04" w:rsidR="000B73CE" w:rsidRPr="00131119" w:rsidRDefault="000B73CE" w:rsidP="000B73CE">
      <w:pPr>
        <w:jc w:val="both"/>
        <w:rPr>
          <w:rFonts w:cstheme="minorHAnsi"/>
          <w:b/>
          <w:bCs/>
          <w:sz w:val="18"/>
          <w:szCs w:val="18"/>
          <w:lang w:val="ru-RU"/>
        </w:rPr>
      </w:pPr>
      <w:r w:rsidRPr="00131119">
        <w:rPr>
          <w:rFonts w:cstheme="minorHAnsi"/>
          <w:sz w:val="18"/>
          <w:szCs w:val="18"/>
          <w:lang w:val="ru-RU"/>
        </w:rPr>
        <w:t xml:space="preserve">3. Термін подання цінової пропозиції – </w:t>
      </w:r>
      <w:r w:rsidRPr="00131119">
        <w:rPr>
          <w:rFonts w:cstheme="minorHAnsi"/>
          <w:b/>
          <w:bCs/>
          <w:sz w:val="18"/>
          <w:szCs w:val="18"/>
          <w:lang w:val="ru-RU"/>
        </w:rPr>
        <w:t xml:space="preserve">до 15:00 години місцевого часу, </w:t>
      </w:r>
      <w:r w:rsidR="00EF3214">
        <w:rPr>
          <w:rFonts w:cstheme="minorHAnsi"/>
          <w:b/>
          <w:bCs/>
          <w:sz w:val="18"/>
          <w:szCs w:val="18"/>
          <w:lang w:val="en-US"/>
        </w:rPr>
        <w:t>16</w:t>
      </w:r>
      <w:r w:rsidRPr="00131119">
        <w:rPr>
          <w:rFonts w:cstheme="minorHAnsi"/>
          <w:b/>
          <w:bCs/>
          <w:sz w:val="18"/>
          <w:szCs w:val="18"/>
          <w:lang w:val="ru-RU"/>
        </w:rPr>
        <w:t xml:space="preserve"> </w:t>
      </w:r>
      <w:r w:rsidR="00EF3214">
        <w:rPr>
          <w:rFonts w:cstheme="minorHAnsi"/>
          <w:b/>
          <w:bCs/>
          <w:sz w:val="18"/>
          <w:szCs w:val="18"/>
          <w:lang w:val="uk-UA"/>
        </w:rPr>
        <w:t>лютого</w:t>
      </w:r>
      <w:r w:rsidRPr="00131119">
        <w:rPr>
          <w:rFonts w:cstheme="minorHAnsi"/>
          <w:b/>
          <w:bCs/>
          <w:sz w:val="18"/>
          <w:szCs w:val="18"/>
          <w:lang w:val="ru-RU"/>
        </w:rPr>
        <w:t xml:space="preserve"> 202</w:t>
      </w:r>
      <w:r w:rsidR="00EF3214">
        <w:rPr>
          <w:rFonts w:cstheme="minorHAnsi"/>
          <w:b/>
          <w:bCs/>
          <w:sz w:val="18"/>
          <w:szCs w:val="18"/>
          <w:lang w:val="ru-RU"/>
        </w:rPr>
        <w:t>6</w:t>
      </w:r>
      <w:r w:rsidRPr="00131119">
        <w:rPr>
          <w:rFonts w:cstheme="minorHAnsi"/>
          <w:b/>
          <w:bCs/>
          <w:sz w:val="18"/>
          <w:szCs w:val="18"/>
          <w:lang w:val="ru-RU"/>
        </w:rPr>
        <w:t xml:space="preserve"> року.</w:t>
      </w:r>
    </w:p>
    <w:p w14:paraId="03EC9B4E" w14:textId="77777777" w:rsidR="000B73CE" w:rsidRPr="00131119" w:rsidRDefault="000B73CE" w:rsidP="000B73CE">
      <w:pPr>
        <w:jc w:val="both"/>
        <w:rPr>
          <w:rFonts w:cstheme="minorHAnsi"/>
          <w:sz w:val="18"/>
          <w:szCs w:val="18"/>
          <w:lang w:val="uk-UA"/>
        </w:rPr>
      </w:pPr>
      <w:r w:rsidRPr="00131119">
        <w:rPr>
          <w:rFonts w:cstheme="minorHAnsi"/>
          <w:sz w:val="18"/>
          <w:szCs w:val="18"/>
          <w:lang w:val="ru-RU"/>
        </w:rPr>
        <w:t>4. Цінову пропозицію слід надати у валюті – грн</w:t>
      </w:r>
      <w:r w:rsidRPr="00131119">
        <w:rPr>
          <w:rFonts w:cstheme="minorHAnsi"/>
          <w:sz w:val="18"/>
          <w:szCs w:val="18"/>
          <w:lang w:val="uk-UA"/>
        </w:rPr>
        <w:t>.</w:t>
      </w:r>
    </w:p>
    <w:p w14:paraId="270E9FB5" w14:textId="6CFE903F" w:rsidR="000B73CE" w:rsidRPr="00131119" w:rsidRDefault="000B73CE" w:rsidP="000B73CE">
      <w:pPr>
        <w:jc w:val="both"/>
        <w:rPr>
          <w:rFonts w:cstheme="minorHAnsi"/>
          <w:sz w:val="18"/>
          <w:szCs w:val="18"/>
          <w:lang w:val="uk-UA"/>
        </w:rPr>
      </w:pPr>
      <w:r w:rsidRPr="00131119">
        <w:rPr>
          <w:rFonts w:cstheme="minorHAnsi"/>
          <w:sz w:val="18"/>
          <w:szCs w:val="18"/>
          <w:lang w:val="uk-UA"/>
        </w:rPr>
        <w:t xml:space="preserve">5. Цінова пропозиція має бути дійсною протягом </w:t>
      </w:r>
      <w:r w:rsidR="005C42AB">
        <w:rPr>
          <w:rFonts w:cstheme="minorHAnsi"/>
          <w:sz w:val="18"/>
          <w:szCs w:val="18"/>
          <w:lang w:val="uk-UA"/>
        </w:rPr>
        <w:t>3</w:t>
      </w:r>
      <w:r w:rsidRPr="00131119">
        <w:rPr>
          <w:rFonts w:cstheme="minorHAnsi"/>
          <w:sz w:val="18"/>
          <w:szCs w:val="18"/>
          <w:lang w:val="uk-UA"/>
        </w:rPr>
        <w:t xml:space="preserve"> (</w:t>
      </w:r>
      <w:r w:rsidR="005C42AB">
        <w:rPr>
          <w:rFonts w:cstheme="minorHAnsi"/>
          <w:sz w:val="18"/>
          <w:szCs w:val="18"/>
          <w:lang w:val="uk-UA"/>
        </w:rPr>
        <w:t>трьох</w:t>
      </w:r>
      <w:r w:rsidRPr="00131119">
        <w:rPr>
          <w:rFonts w:cstheme="minorHAnsi"/>
          <w:sz w:val="18"/>
          <w:szCs w:val="18"/>
          <w:lang w:val="uk-UA"/>
        </w:rPr>
        <w:t>) місяц</w:t>
      </w:r>
      <w:r w:rsidR="005C42AB">
        <w:rPr>
          <w:rFonts w:cstheme="minorHAnsi"/>
          <w:sz w:val="18"/>
          <w:szCs w:val="18"/>
          <w:lang w:val="uk-UA"/>
        </w:rPr>
        <w:t>ів</w:t>
      </w:r>
    </w:p>
    <w:p w14:paraId="6549E41E" w14:textId="51670E61" w:rsidR="000B73CE" w:rsidRPr="00131119" w:rsidRDefault="000B73CE" w:rsidP="4D1E45E2">
      <w:pPr>
        <w:pStyle w:val="CommentText"/>
        <w:spacing w:after="0" w:line="240" w:lineRule="auto"/>
        <w:jc w:val="both"/>
        <w:rPr>
          <w:rFonts w:asciiTheme="minorHAnsi" w:hAnsiTheme="minorHAnsi" w:cstheme="minorBidi"/>
          <w:sz w:val="18"/>
          <w:szCs w:val="18"/>
        </w:rPr>
      </w:pPr>
      <w:r w:rsidRPr="4D1E45E2">
        <w:rPr>
          <w:rFonts w:asciiTheme="minorHAnsi" w:hAnsiTheme="minorHAnsi" w:cstheme="minorBidi"/>
          <w:sz w:val="18"/>
          <w:szCs w:val="18"/>
          <w:lang w:val="ru-RU"/>
        </w:rPr>
        <w:t xml:space="preserve">6. Цінова пропозиція має містити вартість </w:t>
      </w:r>
      <w:r w:rsidRPr="4D1E45E2">
        <w:rPr>
          <w:rFonts w:asciiTheme="minorHAnsi" w:hAnsiTheme="minorHAnsi" w:cstheme="minorBidi"/>
          <w:sz w:val="18"/>
          <w:szCs w:val="18"/>
          <w:lang w:val="uk-UA"/>
        </w:rPr>
        <w:t>товарів та послуг</w:t>
      </w:r>
      <w:r w:rsidRPr="4D1E45E2">
        <w:rPr>
          <w:rFonts w:asciiTheme="minorHAnsi" w:hAnsiTheme="minorHAnsi" w:cstheme="minorBidi"/>
          <w:sz w:val="18"/>
          <w:szCs w:val="18"/>
          <w:lang w:val="ru-RU"/>
        </w:rPr>
        <w:t>, відображених у Додатку №1 для контракту з фіксованою ціною</w:t>
      </w:r>
      <w:r w:rsidRPr="4D1E45E2">
        <w:rPr>
          <w:rFonts w:asciiTheme="minorHAnsi" w:hAnsiTheme="minorHAnsi" w:cstheme="minorBidi"/>
          <w:sz w:val="18"/>
          <w:szCs w:val="18"/>
          <w:lang w:val="uk-UA"/>
        </w:rPr>
        <w:t>, що включає супутні витрати</w:t>
      </w:r>
      <w:r w:rsidRPr="4D1E45E2">
        <w:rPr>
          <w:rFonts w:asciiTheme="minorHAnsi" w:hAnsiTheme="minorHAnsi" w:cstheme="minorBidi"/>
          <w:sz w:val="18"/>
          <w:szCs w:val="18"/>
          <w:lang w:val="ru-RU"/>
        </w:rPr>
        <w:t xml:space="preserve">. </w:t>
      </w:r>
      <w:r w:rsidRPr="4D1E45E2">
        <w:rPr>
          <w:rFonts w:asciiTheme="minorHAnsi" w:hAnsiTheme="minorHAnsi" w:cstheme="minorBidi"/>
          <w:color w:val="000000" w:themeColor="text1"/>
          <w:sz w:val="18"/>
          <w:szCs w:val="18"/>
          <w:lang w:val="ru-RU"/>
        </w:rPr>
        <w:t>Контракт</w:t>
      </w:r>
      <w:r w:rsidRPr="4D1E45E2">
        <w:rPr>
          <w:rFonts w:asciiTheme="minorHAnsi" w:hAnsiTheme="minorHAnsi" w:cstheme="minorBidi"/>
          <w:color w:val="000000" w:themeColor="text1"/>
          <w:sz w:val="18"/>
          <w:szCs w:val="18"/>
          <w:lang w:val="uk-UA"/>
        </w:rPr>
        <w:t>, згідно з якою фінансується ця закупівля, не дозволяє фінансувати будь-які податки, ПДВ, тарифи, мита чи інші збори, встановлені будь-якими чинними законами в країні</w:t>
      </w:r>
      <w:r w:rsidRPr="4D1E45E2">
        <w:rPr>
          <w:rFonts w:asciiTheme="minorHAnsi" w:hAnsiTheme="minorHAnsi" w:cstheme="minorBidi"/>
          <w:sz w:val="18"/>
          <w:szCs w:val="18"/>
          <w:lang w:val="uk-UA"/>
        </w:rPr>
        <w:t>-партнера</w:t>
      </w:r>
      <w:r w:rsidRPr="4D1E45E2">
        <w:rPr>
          <w:rFonts w:asciiTheme="minorHAnsi" w:hAnsiTheme="minorHAnsi" w:cstheme="minorBidi"/>
          <w:color w:val="000000" w:themeColor="text1"/>
          <w:sz w:val="18"/>
          <w:szCs w:val="18"/>
          <w:lang w:val="uk-UA"/>
        </w:rPr>
        <w:t xml:space="preserve">. Жодні такі податки, ПДВ, тарифи, мита або збори країни-партнера не сплачуються згідно з договорами. </w:t>
      </w:r>
      <w:r w:rsidRPr="4D1E45E2">
        <w:rPr>
          <w:rFonts w:asciiTheme="minorHAnsi" w:hAnsiTheme="minorHAnsi" w:cstheme="minorBidi"/>
          <w:sz w:val="18"/>
          <w:szCs w:val="18"/>
          <w:lang w:val="uk-UA"/>
        </w:rPr>
        <w:t>Відтак, Проект 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 оплачуватиме вартість товарів/ послуг без ПДВ.</w:t>
      </w:r>
      <w:r w:rsidR="00131119" w:rsidRPr="4D1E45E2">
        <w:rPr>
          <w:rFonts w:asciiTheme="minorHAnsi" w:hAnsiTheme="minorHAnsi" w:cstheme="minorBidi"/>
          <w:sz w:val="18"/>
          <w:szCs w:val="18"/>
        </w:rPr>
        <w:t xml:space="preserve"> </w:t>
      </w:r>
    </w:p>
    <w:p w14:paraId="0B38C468" w14:textId="77777777" w:rsidR="00F646E2" w:rsidRDefault="00F646E2" w:rsidP="000B73CE">
      <w:pPr>
        <w:pStyle w:val="CommentText"/>
        <w:spacing w:after="0" w:line="240" w:lineRule="auto"/>
        <w:jc w:val="both"/>
        <w:rPr>
          <w:rFonts w:asciiTheme="minorHAnsi" w:hAnsiTheme="minorHAnsi" w:cstheme="minorHAnsi"/>
          <w:sz w:val="18"/>
          <w:szCs w:val="18"/>
        </w:rPr>
      </w:pPr>
    </w:p>
    <w:p w14:paraId="06C740B3" w14:textId="5FB3AE76" w:rsidR="00131119" w:rsidRPr="00131119" w:rsidRDefault="00131119" w:rsidP="000B73CE">
      <w:pPr>
        <w:pStyle w:val="CommentText"/>
        <w:spacing w:after="0" w:line="240" w:lineRule="auto"/>
        <w:jc w:val="both"/>
        <w:rPr>
          <w:rFonts w:asciiTheme="minorHAnsi" w:hAnsiTheme="minorHAnsi" w:cstheme="minorHAnsi"/>
          <w:sz w:val="18"/>
          <w:szCs w:val="18"/>
        </w:rPr>
      </w:pPr>
      <w:r w:rsidRPr="00131119">
        <w:rPr>
          <w:rFonts w:asciiTheme="minorHAnsi" w:hAnsiTheme="minorHAnsi" w:cstheme="minorHAnsi"/>
          <w:sz w:val="18"/>
          <w:szCs w:val="18"/>
        </w:rPr>
        <w:t>/</w:t>
      </w:r>
    </w:p>
    <w:p w14:paraId="4B62F6F2" w14:textId="30D557C7" w:rsidR="00131119" w:rsidRPr="00131119" w:rsidRDefault="00131119" w:rsidP="4D1E45E2">
      <w:pPr>
        <w:jc w:val="both"/>
        <w:rPr>
          <w:sz w:val="18"/>
          <w:szCs w:val="18"/>
        </w:rPr>
      </w:pPr>
      <w:r w:rsidRPr="4D1E45E2">
        <w:rPr>
          <w:sz w:val="18"/>
          <w:szCs w:val="18"/>
        </w:rPr>
        <w:t xml:space="preserve">1. With this request, we ask you to provide a price proposal for </w:t>
      </w:r>
      <w:r w:rsidR="00CD0D13">
        <w:rPr>
          <w:b/>
          <w:bCs/>
          <w:sz w:val="18"/>
          <w:szCs w:val="18"/>
        </w:rPr>
        <w:t>conducting of a</w:t>
      </w:r>
      <w:r w:rsidR="005C42AB" w:rsidRPr="005C42AB">
        <w:rPr>
          <w:b/>
          <w:bCs/>
          <w:sz w:val="18"/>
          <w:szCs w:val="18"/>
        </w:rPr>
        <w:t xml:space="preserve"> seminar "Risk Management and Assurance of Result Reliability in Bacteriological Laboratories Accredited to ISO 15189:2022"</w:t>
      </w:r>
      <w:r w:rsidR="005C42AB">
        <w:rPr>
          <w:b/>
          <w:bCs/>
          <w:sz w:val="18"/>
          <w:szCs w:val="18"/>
        </w:rPr>
        <w:t xml:space="preserve"> </w:t>
      </w:r>
      <w:r w:rsidRPr="4D1E45E2">
        <w:rPr>
          <w:sz w:val="18"/>
          <w:szCs w:val="18"/>
        </w:rPr>
        <w:t>(hereinafter referred to as "Services") for the International Technical Assistance Project “Enhancing Global Health Security: Strengthening Public Health Surveillance Systems and Preparedness Globally” (hereinafter – “ICAP”).</w:t>
      </w:r>
    </w:p>
    <w:p w14:paraId="05A0770D" w14:textId="50F68879" w:rsidR="00131119" w:rsidRPr="00131119" w:rsidRDefault="00131119" w:rsidP="003D7547">
      <w:pPr>
        <w:rPr>
          <w:sz w:val="18"/>
          <w:szCs w:val="18"/>
        </w:rPr>
      </w:pPr>
      <w:r w:rsidRPr="4D1E45E2">
        <w:rPr>
          <w:sz w:val="18"/>
          <w:szCs w:val="18"/>
        </w:rPr>
        <w:t>2. The scanned version of the price offer in *.pdf and Word format should be sent to the e-mail</w:t>
      </w:r>
      <w:r w:rsidR="003D7547">
        <w:rPr>
          <w:sz w:val="18"/>
          <w:szCs w:val="18"/>
        </w:rPr>
        <w:t xml:space="preserve"> </w:t>
      </w:r>
      <w:r w:rsidRPr="4D1E45E2">
        <w:rPr>
          <w:sz w:val="18"/>
          <w:szCs w:val="18"/>
        </w:rPr>
        <w:t>address:</w:t>
      </w:r>
      <w:r w:rsidR="003D7547">
        <w:rPr>
          <w:sz w:val="18"/>
          <w:szCs w:val="18"/>
        </w:rPr>
        <w:t xml:space="preserve"> </w:t>
      </w:r>
      <w:hyperlink r:id="rId14" w:history="1">
        <w:r w:rsidR="00460316" w:rsidRPr="00813606">
          <w:rPr>
            <w:rStyle w:val="Hyperlink"/>
            <w:sz w:val="18"/>
            <w:szCs w:val="18"/>
          </w:rPr>
          <w:t>procurement_ua@cumc.columbia.edu</w:t>
        </w:r>
      </w:hyperlink>
      <w:r w:rsidRPr="4D1E45E2">
        <w:rPr>
          <w:sz w:val="18"/>
          <w:szCs w:val="18"/>
        </w:rPr>
        <w:t xml:space="preserve"> </w:t>
      </w:r>
      <w:r w:rsidR="003D7547">
        <w:rPr>
          <w:sz w:val="18"/>
          <w:szCs w:val="18"/>
          <w:lang w:val="en-US"/>
        </w:rPr>
        <w:t xml:space="preserve">and </w:t>
      </w:r>
      <w:hyperlink r:id="rId15" w:history="1">
        <w:r w:rsidR="003D7547" w:rsidRPr="00813606">
          <w:rPr>
            <w:rStyle w:val="Hyperlink"/>
            <w:sz w:val="18"/>
            <w:szCs w:val="18"/>
            <w:lang w:val="en-US"/>
          </w:rPr>
          <w:t>icapukraine@gmail.com</w:t>
        </w:r>
      </w:hyperlink>
      <w:r w:rsidR="003D7547">
        <w:rPr>
          <w:sz w:val="18"/>
          <w:szCs w:val="18"/>
          <w:lang w:val="en-US"/>
        </w:rPr>
        <w:t xml:space="preserve"> </w:t>
      </w:r>
      <w:r>
        <w:br/>
      </w:r>
      <w:r w:rsidRPr="4D1E45E2">
        <w:rPr>
          <w:sz w:val="18"/>
          <w:szCs w:val="18"/>
        </w:rPr>
        <w:t>Please indicate RFQ number in the subject.</w:t>
      </w:r>
    </w:p>
    <w:p w14:paraId="7803F43A" w14:textId="28633240" w:rsidR="00131119" w:rsidRPr="00131119" w:rsidRDefault="00131119" w:rsidP="00131119">
      <w:pPr>
        <w:jc w:val="both"/>
        <w:rPr>
          <w:rFonts w:cstheme="minorHAnsi"/>
          <w:b/>
          <w:bCs/>
          <w:sz w:val="18"/>
          <w:szCs w:val="18"/>
        </w:rPr>
      </w:pPr>
      <w:r w:rsidRPr="00131119">
        <w:rPr>
          <w:rFonts w:cstheme="minorHAnsi"/>
          <w:sz w:val="18"/>
          <w:szCs w:val="18"/>
        </w:rPr>
        <w:t xml:space="preserve">3. The deadline for submitting a quotation is </w:t>
      </w:r>
      <w:r w:rsidRPr="00131119">
        <w:rPr>
          <w:rFonts w:cstheme="minorHAnsi"/>
          <w:b/>
          <w:bCs/>
          <w:sz w:val="18"/>
          <w:szCs w:val="18"/>
        </w:rPr>
        <w:t xml:space="preserve">3:00 p.m. local Kyiv time on </w:t>
      </w:r>
      <w:r w:rsidR="00E92A9A">
        <w:rPr>
          <w:rFonts w:cstheme="minorHAnsi"/>
          <w:b/>
          <w:bCs/>
          <w:sz w:val="18"/>
          <w:szCs w:val="18"/>
        </w:rPr>
        <w:t>February</w:t>
      </w:r>
      <w:r w:rsidRPr="00131119">
        <w:rPr>
          <w:rFonts w:cstheme="minorHAnsi"/>
          <w:b/>
          <w:bCs/>
          <w:sz w:val="18"/>
          <w:szCs w:val="18"/>
        </w:rPr>
        <w:t xml:space="preserve"> </w:t>
      </w:r>
      <w:r w:rsidR="00E92A9A">
        <w:rPr>
          <w:rFonts w:cstheme="minorHAnsi"/>
          <w:b/>
          <w:bCs/>
          <w:sz w:val="18"/>
          <w:szCs w:val="18"/>
          <w:lang w:val="en-US"/>
        </w:rPr>
        <w:t>16</w:t>
      </w:r>
      <w:r w:rsidRPr="00131119">
        <w:rPr>
          <w:rFonts w:cstheme="minorHAnsi"/>
          <w:b/>
          <w:bCs/>
          <w:sz w:val="18"/>
          <w:szCs w:val="18"/>
        </w:rPr>
        <w:t>, 202</w:t>
      </w:r>
      <w:r w:rsidR="00E92A9A">
        <w:rPr>
          <w:rFonts w:cstheme="minorHAnsi"/>
          <w:b/>
          <w:bCs/>
          <w:sz w:val="18"/>
          <w:szCs w:val="18"/>
        </w:rPr>
        <w:t>6</w:t>
      </w:r>
      <w:r w:rsidRPr="00131119">
        <w:rPr>
          <w:rFonts w:cstheme="minorHAnsi"/>
          <w:b/>
          <w:bCs/>
          <w:sz w:val="18"/>
          <w:szCs w:val="18"/>
        </w:rPr>
        <w:t>.</w:t>
      </w:r>
    </w:p>
    <w:p w14:paraId="4ABD525A" w14:textId="77777777" w:rsidR="00131119" w:rsidRPr="00131119" w:rsidRDefault="00131119" w:rsidP="00131119">
      <w:pPr>
        <w:jc w:val="both"/>
        <w:rPr>
          <w:rFonts w:cstheme="minorHAnsi"/>
          <w:sz w:val="18"/>
          <w:szCs w:val="18"/>
        </w:rPr>
      </w:pPr>
      <w:r w:rsidRPr="00131119">
        <w:rPr>
          <w:rFonts w:cstheme="minorHAnsi"/>
          <w:sz w:val="18"/>
          <w:szCs w:val="18"/>
        </w:rPr>
        <w:t>4. The quotation should be submitted in UAH currency.</w:t>
      </w:r>
    </w:p>
    <w:p w14:paraId="5C0D1525" w14:textId="3F4A3B07" w:rsidR="00131119" w:rsidRPr="00131119" w:rsidRDefault="00131119" w:rsidP="00131119">
      <w:pPr>
        <w:jc w:val="both"/>
        <w:rPr>
          <w:rFonts w:cstheme="minorHAnsi"/>
          <w:sz w:val="18"/>
          <w:szCs w:val="18"/>
        </w:rPr>
      </w:pPr>
      <w:r w:rsidRPr="00131119">
        <w:rPr>
          <w:rFonts w:cstheme="minorHAnsi"/>
          <w:sz w:val="18"/>
          <w:szCs w:val="18"/>
        </w:rPr>
        <w:t xml:space="preserve">5. The quotation must be valid for a period of </w:t>
      </w:r>
      <w:r w:rsidR="005C42AB">
        <w:rPr>
          <w:rFonts w:cstheme="minorHAnsi"/>
          <w:sz w:val="18"/>
          <w:szCs w:val="18"/>
        </w:rPr>
        <w:t xml:space="preserve">3 </w:t>
      </w:r>
      <w:r w:rsidRPr="00131119">
        <w:rPr>
          <w:rFonts w:cstheme="minorHAnsi"/>
          <w:sz w:val="18"/>
          <w:szCs w:val="18"/>
        </w:rPr>
        <w:t>(</w:t>
      </w:r>
      <w:r w:rsidR="005C42AB">
        <w:rPr>
          <w:rFonts w:cstheme="minorHAnsi"/>
          <w:sz w:val="18"/>
          <w:szCs w:val="18"/>
          <w:lang w:val="en-US"/>
        </w:rPr>
        <w:t>three</w:t>
      </w:r>
      <w:r w:rsidRPr="00131119">
        <w:rPr>
          <w:rFonts w:cstheme="minorHAnsi"/>
          <w:sz w:val="18"/>
          <w:szCs w:val="18"/>
        </w:rPr>
        <w:t>) month</w:t>
      </w:r>
      <w:r w:rsidR="005C42AB">
        <w:rPr>
          <w:rFonts w:cstheme="minorHAnsi"/>
          <w:sz w:val="18"/>
          <w:szCs w:val="18"/>
        </w:rPr>
        <w:t>s</w:t>
      </w:r>
      <w:r w:rsidRPr="00131119">
        <w:rPr>
          <w:rFonts w:cstheme="minorHAnsi"/>
          <w:sz w:val="18"/>
          <w:szCs w:val="18"/>
        </w:rPr>
        <w:t>.</w:t>
      </w:r>
    </w:p>
    <w:p w14:paraId="7CF10D18" w14:textId="3C7BB828" w:rsidR="00131119" w:rsidRPr="00131119" w:rsidRDefault="00131119" w:rsidP="00131119">
      <w:pPr>
        <w:jc w:val="both"/>
        <w:rPr>
          <w:sz w:val="18"/>
          <w:szCs w:val="18"/>
        </w:rPr>
      </w:pPr>
      <w:r w:rsidRPr="4D1E45E2">
        <w:rPr>
          <w:sz w:val="18"/>
          <w:szCs w:val="18"/>
        </w:rPr>
        <w:t xml:space="preserve">6. The quotation must contain the cost of </w:t>
      </w:r>
      <w:r w:rsidRPr="4D1E45E2">
        <w:rPr>
          <w:sz w:val="18"/>
          <w:szCs w:val="18"/>
          <w:lang w:val="en-US"/>
        </w:rPr>
        <w:t xml:space="preserve">goods and </w:t>
      </w:r>
      <w:r w:rsidR="005C42AB" w:rsidRPr="4D1E45E2">
        <w:rPr>
          <w:sz w:val="18"/>
          <w:szCs w:val="18"/>
        </w:rPr>
        <w:t>services</w:t>
      </w:r>
      <w:r w:rsidRPr="4D1E45E2">
        <w:rPr>
          <w:sz w:val="18"/>
          <w:szCs w:val="18"/>
        </w:rPr>
        <w:t xml:space="preserve"> shown in Annex </w:t>
      </w:r>
      <w:r w:rsidRPr="4D1E45E2">
        <w:rPr>
          <w:sz w:val="18"/>
          <w:szCs w:val="18"/>
          <w:lang w:val="uk-UA"/>
        </w:rPr>
        <w:t>№</w:t>
      </w:r>
      <w:r w:rsidRPr="4D1E45E2">
        <w:rPr>
          <w:sz w:val="18"/>
          <w:szCs w:val="18"/>
        </w:rPr>
        <w:t xml:space="preserve">1 for a fixed-price Contract and include related costs. The Contract under which this procurement is financed does not permit the financing of any taxes, VAT, tariffs, duties, or other levies imposed by any laws in effect in the Cooperating Country. No such Cooperating Country taxes, VAT, charges, tariffs, duties or levies will be paid under an order resulting from this RFQ. Therefore, International Technical Assistance Project “Enhancing Global Health Security: Strengthening Public Health Surveillance Systems and Preparedness Globally” shall pay for the cost of commodities/ services exclusive of VAT. </w:t>
      </w:r>
    </w:p>
    <w:p w14:paraId="7711A836" w14:textId="5EC13A26" w:rsidR="00131119" w:rsidRPr="00131119" w:rsidRDefault="00131119" w:rsidP="000B73CE">
      <w:pPr>
        <w:pStyle w:val="CommentText"/>
        <w:spacing w:after="0" w:line="240" w:lineRule="auto"/>
        <w:jc w:val="both"/>
        <w:rPr>
          <w:rFonts w:asciiTheme="minorHAnsi" w:hAnsiTheme="minorHAnsi" w:cstheme="minorHAnsi"/>
          <w:sz w:val="18"/>
          <w:szCs w:val="18"/>
        </w:rPr>
        <w:sectPr w:rsidR="00131119" w:rsidRPr="00131119" w:rsidSect="000B73CE">
          <w:headerReference w:type="default" r:id="rId16"/>
          <w:pgSz w:w="11906" w:h="16838"/>
          <w:pgMar w:top="1440" w:right="1440" w:bottom="1440" w:left="1440" w:header="708" w:footer="708" w:gutter="0"/>
          <w:cols w:space="708"/>
          <w:docGrid w:linePitch="360"/>
        </w:sectPr>
      </w:pPr>
    </w:p>
    <w:p w14:paraId="0CF61E8A" w14:textId="45D2AC74" w:rsidR="005429B2" w:rsidRPr="00E16BBA" w:rsidRDefault="005429B2" w:rsidP="005429B2">
      <w:pPr>
        <w:rPr>
          <w:rFonts w:cstheme="minorHAnsi"/>
          <w:sz w:val="20"/>
          <w:szCs w:val="20"/>
          <w:lang w:val="en-US"/>
        </w:rPr>
      </w:pPr>
      <w:bookmarkStart w:id="0" w:name="_Hlk128658218"/>
      <w:r w:rsidRPr="00E16BBA">
        <w:rPr>
          <w:rFonts w:cstheme="minorHAnsi"/>
          <w:sz w:val="20"/>
          <w:szCs w:val="20"/>
          <w:lang w:val="ru-RU"/>
        </w:rPr>
        <w:lastRenderedPageBreak/>
        <w:t>Додаток №1</w:t>
      </w:r>
      <w:r w:rsidRPr="00E16BBA">
        <w:rPr>
          <w:rFonts w:cstheme="minorHAnsi"/>
          <w:sz w:val="20"/>
          <w:szCs w:val="20"/>
        </w:rPr>
        <w:t xml:space="preserve">/Annex </w:t>
      </w:r>
      <w:r w:rsidRPr="00E16BBA">
        <w:rPr>
          <w:rFonts w:cstheme="minorHAnsi"/>
          <w:sz w:val="20"/>
          <w:szCs w:val="20"/>
          <w:lang w:val="ru-RU"/>
        </w:rPr>
        <w:t>№1</w:t>
      </w:r>
    </w:p>
    <w:p w14:paraId="5C4AC7A6" w14:textId="10B71673" w:rsidR="005C42AB" w:rsidRPr="005C42AB" w:rsidRDefault="00797E45" w:rsidP="005C42AB">
      <w:pPr>
        <w:rPr>
          <w:rFonts w:cstheme="minorHAnsi"/>
          <w:b/>
          <w:bCs/>
          <w:sz w:val="20"/>
          <w:szCs w:val="20"/>
        </w:rPr>
      </w:pPr>
      <w:r w:rsidRPr="00E16BBA">
        <w:rPr>
          <w:rFonts w:cstheme="minorHAnsi"/>
          <w:sz w:val="20"/>
          <w:szCs w:val="20"/>
          <w:lang w:val="en-US"/>
        </w:rPr>
        <w:t>To</w:t>
      </w:r>
      <w:r w:rsidR="005C42AB">
        <w:rPr>
          <w:rFonts w:cstheme="minorHAnsi"/>
          <w:sz w:val="20"/>
          <w:szCs w:val="20"/>
          <w:lang w:val="uk-UA"/>
        </w:rPr>
        <w:t>:</w:t>
      </w:r>
      <w:r w:rsidRPr="00E16BBA">
        <w:rPr>
          <w:rFonts w:cstheme="minorHAnsi"/>
          <w:sz w:val="20"/>
          <w:szCs w:val="20"/>
          <w:lang w:val="en-US"/>
        </w:rPr>
        <w:t xml:space="preserve"> </w:t>
      </w:r>
      <w:r w:rsidR="005C42AB" w:rsidRPr="005C42AB">
        <w:rPr>
          <w:rFonts w:cstheme="minorHAnsi"/>
          <w:b/>
          <w:bCs/>
          <w:sz w:val="20"/>
          <w:szCs w:val="20"/>
        </w:rPr>
        <w:t xml:space="preserve">Conducting </w:t>
      </w:r>
      <w:r w:rsidR="00CD0D13">
        <w:rPr>
          <w:rFonts w:cstheme="minorHAnsi"/>
          <w:b/>
          <w:bCs/>
          <w:sz w:val="20"/>
          <w:szCs w:val="20"/>
        </w:rPr>
        <w:t xml:space="preserve">a </w:t>
      </w:r>
      <w:r w:rsidR="005C42AB" w:rsidRPr="005C42AB">
        <w:rPr>
          <w:rFonts w:cstheme="minorHAnsi"/>
          <w:b/>
          <w:bCs/>
          <w:sz w:val="20"/>
          <w:szCs w:val="20"/>
        </w:rPr>
        <w:t>seminar "Risk Management and Assurance of Result Reliability in Bacteriological Laboratories Accredited to ISO 15189:2022"</w:t>
      </w:r>
      <w:r w:rsidRPr="005C42AB">
        <w:rPr>
          <w:rFonts w:cstheme="minorHAnsi"/>
          <w:b/>
          <w:bCs/>
          <w:sz w:val="20"/>
          <w:szCs w:val="20"/>
        </w:rPr>
        <w:t xml:space="preserve">/ </w:t>
      </w:r>
      <w:r w:rsidR="005C42AB" w:rsidRPr="005C42AB">
        <w:rPr>
          <w:rFonts w:cstheme="minorHAnsi"/>
          <w:b/>
          <w:bCs/>
          <w:sz w:val="20"/>
          <w:szCs w:val="20"/>
        </w:rPr>
        <w:t>Проведення навчального семінару «Управління ризиками та забезпечення надійності результатів у бактеріологічних лабораторіях, акредитованих за стандартом ISO 15189:2022»</w:t>
      </w:r>
    </w:p>
    <w:p w14:paraId="58FE540C" w14:textId="77777777" w:rsidR="005429B2" w:rsidRPr="00E16BBA" w:rsidRDefault="005429B2" w:rsidP="005429B2">
      <w:pPr>
        <w:jc w:val="center"/>
        <w:rPr>
          <w:rFonts w:cstheme="minorHAnsi"/>
          <w:b/>
          <w:bCs/>
          <w:color w:val="000000" w:themeColor="text1"/>
          <w:sz w:val="20"/>
          <w:szCs w:val="20"/>
        </w:rPr>
      </w:pPr>
      <w:r w:rsidRPr="00E16BBA">
        <w:rPr>
          <w:rFonts w:cstheme="minorHAnsi"/>
          <w:b/>
          <w:bCs/>
          <w:color w:val="000000" w:themeColor="text1"/>
          <w:sz w:val="20"/>
          <w:szCs w:val="20"/>
        </w:rPr>
        <w:t>Quotation form</w:t>
      </w:r>
    </w:p>
    <w:tbl>
      <w:tblPr>
        <w:tblStyle w:val="TableGrid"/>
        <w:tblW w:w="10416" w:type="dxa"/>
        <w:tblInd w:w="-431" w:type="dxa"/>
        <w:tblLook w:val="04A0" w:firstRow="1" w:lastRow="0" w:firstColumn="1" w:lastColumn="0" w:noHBand="0" w:noVBand="1"/>
      </w:tblPr>
      <w:tblGrid>
        <w:gridCol w:w="5016"/>
        <w:gridCol w:w="5400"/>
      </w:tblGrid>
      <w:tr w:rsidR="005429B2" w:rsidRPr="00E16BBA" w14:paraId="3426834F" w14:textId="77777777" w:rsidTr="00F73874">
        <w:trPr>
          <w:trHeight w:val="287"/>
        </w:trPr>
        <w:tc>
          <w:tcPr>
            <w:tcW w:w="5016" w:type="dxa"/>
            <w:shd w:val="clear" w:color="auto" w:fill="DEEAF6" w:themeFill="accent5" w:themeFillTint="33"/>
          </w:tcPr>
          <w:p w14:paraId="2FEB27E0" w14:textId="21DE21A3" w:rsidR="005429B2" w:rsidRPr="00E16BBA" w:rsidRDefault="005429B2" w:rsidP="00F73874">
            <w:pPr>
              <w:rPr>
                <w:rFonts w:cstheme="minorHAnsi"/>
                <w:b/>
                <w:bCs/>
                <w:color w:val="000000" w:themeColor="text1"/>
                <w:sz w:val="20"/>
                <w:szCs w:val="20"/>
                <w:lang w:val="ru-RU"/>
              </w:rPr>
            </w:pPr>
            <w:r w:rsidRPr="00E16BBA">
              <w:rPr>
                <w:rFonts w:cstheme="minorHAnsi"/>
                <w:b/>
                <w:bCs/>
                <w:color w:val="000000" w:themeColor="text1"/>
                <w:sz w:val="20"/>
                <w:szCs w:val="20"/>
                <w:lang w:val="ru-RU"/>
              </w:rPr>
              <w:t>Company name/</w:t>
            </w:r>
            <w:r w:rsidR="00E16BBA">
              <w:rPr>
                <w:rFonts w:cstheme="minorHAnsi"/>
                <w:b/>
                <w:bCs/>
                <w:color w:val="000000" w:themeColor="text1"/>
                <w:sz w:val="20"/>
                <w:szCs w:val="20"/>
                <w:lang w:val="ru-RU"/>
              </w:rPr>
              <w:t xml:space="preserve"> </w:t>
            </w:r>
            <w:r w:rsidRPr="00E16BBA">
              <w:rPr>
                <w:rFonts w:cstheme="minorHAnsi"/>
                <w:b/>
                <w:bCs/>
                <w:color w:val="000000" w:themeColor="text1"/>
                <w:sz w:val="20"/>
                <w:szCs w:val="20"/>
                <w:lang w:val="ru-RU"/>
              </w:rPr>
              <w:t>Назва компанії:</w:t>
            </w:r>
          </w:p>
        </w:tc>
        <w:tc>
          <w:tcPr>
            <w:tcW w:w="5400" w:type="dxa"/>
          </w:tcPr>
          <w:p w14:paraId="6B659C35" w14:textId="77777777" w:rsidR="005429B2" w:rsidRPr="00E16BBA" w:rsidRDefault="005429B2" w:rsidP="00F73874">
            <w:pPr>
              <w:rPr>
                <w:rFonts w:cstheme="minorHAnsi"/>
                <w:color w:val="000000" w:themeColor="text1"/>
                <w:sz w:val="20"/>
                <w:szCs w:val="20"/>
                <w:lang w:val="ru-RU"/>
              </w:rPr>
            </w:pPr>
          </w:p>
        </w:tc>
      </w:tr>
      <w:tr w:rsidR="005429B2" w:rsidRPr="00E16BBA" w14:paraId="26E433E7" w14:textId="77777777" w:rsidTr="00F73874">
        <w:trPr>
          <w:trHeight w:val="368"/>
        </w:trPr>
        <w:tc>
          <w:tcPr>
            <w:tcW w:w="5016" w:type="dxa"/>
            <w:shd w:val="clear" w:color="auto" w:fill="DEEAF6" w:themeFill="accent5" w:themeFillTint="33"/>
          </w:tcPr>
          <w:p w14:paraId="44883076" w14:textId="1E64F37F" w:rsidR="005429B2" w:rsidRPr="00E16BBA" w:rsidRDefault="005429B2" w:rsidP="00F73874">
            <w:pPr>
              <w:rPr>
                <w:rFonts w:cstheme="minorHAnsi"/>
                <w:b/>
                <w:bCs/>
                <w:color w:val="000000" w:themeColor="text1"/>
                <w:sz w:val="20"/>
                <w:szCs w:val="20"/>
              </w:rPr>
            </w:pPr>
            <w:r w:rsidRPr="00E16BBA">
              <w:rPr>
                <w:rFonts w:cstheme="minorHAnsi"/>
                <w:b/>
                <w:bCs/>
                <w:color w:val="000000" w:themeColor="text1"/>
                <w:sz w:val="20"/>
                <w:szCs w:val="20"/>
              </w:rPr>
              <w:t>Name and position of authorized representative</w:t>
            </w:r>
            <w:r w:rsidRPr="00E16BBA">
              <w:rPr>
                <w:rFonts w:cstheme="minorHAnsi"/>
                <w:b/>
                <w:bCs/>
                <w:color w:val="000000" w:themeColor="text1"/>
                <w:sz w:val="20"/>
                <w:szCs w:val="20"/>
                <w:lang w:val="uk-UA"/>
              </w:rPr>
              <w:t>/</w:t>
            </w:r>
            <w:r w:rsidR="00E16BBA">
              <w:rPr>
                <w:rFonts w:cstheme="minorHAnsi"/>
                <w:b/>
                <w:bCs/>
                <w:color w:val="000000" w:themeColor="text1"/>
                <w:sz w:val="20"/>
                <w:szCs w:val="20"/>
                <w:lang w:val="uk-UA"/>
              </w:rPr>
              <w:t xml:space="preserve"> </w:t>
            </w:r>
            <w:r w:rsidRPr="00E16BBA">
              <w:rPr>
                <w:rFonts w:cstheme="minorHAnsi"/>
                <w:b/>
                <w:bCs/>
                <w:color w:val="000000" w:themeColor="text1"/>
                <w:sz w:val="20"/>
                <w:szCs w:val="20"/>
                <w:lang w:val="uk-UA"/>
              </w:rPr>
              <w:t>Ім’я та посада уповноваженого представника</w:t>
            </w:r>
            <w:r w:rsidRPr="00E16BBA">
              <w:rPr>
                <w:rFonts w:cstheme="minorHAnsi"/>
                <w:b/>
                <w:bCs/>
                <w:color w:val="000000" w:themeColor="text1"/>
                <w:sz w:val="20"/>
                <w:szCs w:val="20"/>
              </w:rPr>
              <w:t>:</w:t>
            </w:r>
          </w:p>
        </w:tc>
        <w:tc>
          <w:tcPr>
            <w:tcW w:w="5400" w:type="dxa"/>
          </w:tcPr>
          <w:p w14:paraId="37B7F2A3" w14:textId="77777777" w:rsidR="005429B2" w:rsidRPr="00E16BBA" w:rsidRDefault="005429B2" w:rsidP="00F73874">
            <w:pPr>
              <w:rPr>
                <w:rFonts w:cstheme="minorHAnsi"/>
                <w:color w:val="000000" w:themeColor="text1"/>
                <w:sz w:val="20"/>
                <w:szCs w:val="20"/>
              </w:rPr>
            </w:pPr>
          </w:p>
        </w:tc>
      </w:tr>
      <w:tr w:rsidR="005429B2" w:rsidRPr="00E16BBA" w14:paraId="72D30893" w14:textId="77777777" w:rsidTr="00F73874">
        <w:trPr>
          <w:trHeight w:val="498"/>
        </w:trPr>
        <w:tc>
          <w:tcPr>
            <w:tcW w:w="5016" w:type="dxa"/>
            <w:shd w:val="clear" w:color="auto" w:fill="DEEAF6" w:themeFill="accent5" w:themeFillTint="33"/>
          </w:tcPr>
          <w:p w14:paraId="1BA7F2D9" w14:textId="48EBF00D" w:rsidR="005429B2" w:rsidRPr="00E16BBA" w:rsidRDefault="005429B2" w:rsidP="00F73874">
            <w:pPr>
              <w:rPr>
                <w:rFonts w:cstheme="minorHAnsi"/>
                <w:b/>
                <w:bCs/>
                <w:color w:val="000000" w:themeColor="text1"/>
                <w:sz w:val="20"/>
                <w:szCs w:val="20"/>
              </w:rPr>
            </w:pPr>
            <w:r w:rsidRPr="00E16BBA">
              <w:rPr>
                <w:rFonts w:cstheme="minorHAnsi"/>
                <w:b/>
                <w:bCs/>
                <w:color w:val="000000" w:themeColor="text1"/>
                <w:sz w:val="20"/>
                <w:szCs w:val="20"/>
              </w:rPr>
              <w:t>Contacts of an authorized representative (phone, e-mail)</w:t>
            </w:r>
            <w:r w:rsidRPr="00E16BBA">
              <w:rPr>
                <w:rFonts w:cstheme="minorHAnsi"/>
                <w:b/>
                <w:bCs/>
                <w:color w:val="000000" w:themeColor="text1"/>
                <w:sz w:val="20"/>
                <w:szCs w:val="20"/>
                <w:lang w:val="uk-UA"/>
              </w:rPr>
              <w:t>/</w:t>
            </w:r>
            <w:r w:rsidR="00E16BBA">
              <w:rPr>
                <w:rFonts w:cstheme="minorHAnsi"/>
                <w:b/>
                <w:bCs/>
                <w:color w:val="000000" w:themeColor="text1"/>
                <w:sz w:val="20"/>
                <w:szCs w:val="20"/>
                <w:lang w:val="uk-UA"/>
              </w:rPr>
              <w:t xml:space="preserve"> </w:t>
            </w:r>
            <w:r w:rsidRPr="00E16BBA">
              <w:rPr>
                <w:rFonts w:cstheme="minorHAnsi"/>
                <w:b/>
                <w:bCs/>
                <w:color w:val="000000" w:themeColor="text1"/>
                <w:sz w:val="20"/>
                <w:szCs w:val="20"/>
                <w:lang w:val="uk-UA"/>
              </w:rPr>
              <w:t>Контакти уповноваженого представника</w:t>
            </w:r>
            <w:r w:rsidRPr="00E16BBA">
              <w:rPr>
                <w:rFonts w:cstheme="minorHAnsi"/>
                <w:b/>
                <w:bCs/>
                <w:color w:val="000000" w:themeColor="text1"/>
                <w:sz w:val="20"/>
                <w:szCs w:val="20"/>
              </w:rPr>
              <w:t>:</w:t>
            </w:r>
          </w:p>
        </w:tc>
        <w:tc>
          <w:tcPr>
            <w:tcW w:w="5400" w:type="dxa"/>
          </w:tcPr>
          <w:p w14:paraId="151C1EB7" w14:textId="77777777" w:rsidR="005429B2" w:rsidRPr="00E16BBA" w:rsidRDefault="005429B2" w:rsidP="00F73874">
            <w:pPr>
              <w:rPr>
                <w:rFonts w:cstheme="minorHAnsi"/>
                <w:color w:val="000000" w:themeColor="text1"/>
                <w:sz w:val="20"/>
                <w:szCs w:val="20"/>
              </w:rPr>
            </w:pPr>
          </w:p>
        </w:tc>
      </w:tr>
    </w:tbl>
    <w:p w14:paraId="2C4DDA02" w14:textId="77777777" w:rsidR="005429B2" w:rsidRPr="00E16BBA" w:rsidRDefault="005429B2" w:rsidP="00A74936">
      <w:pPr>
        <w:rPr>
          <w:rFonts w:cstheme="minorHAnsi"/>
          <w:sz w:val="20"/>
          <w:szCs w:val="20"/>
        </w:rPr>
      </w:pPr>
    </w:p>
    <w:tbl>
      <w:tblPr>
        <w:tblStyle w:val="TableGrid"/>
        <w:tblpPr w:leftFromText="180" w:rightFromText="180" w:vertAnchor="text" w:horzAnchor="margin" w:tblpXSpec="center" w:tblpY="278"/>
        <w:tblW w:w="10627" w:type="dxa"/>
        <w:tblLayout w:type="fixed"/>
        <w:tblLook w:val="04A0" w:firstRow="1" w:lastRow="0" w:firstColumn="1" w:lastColumn="0" w:noHBand="0" w:noVBand="1"/>
      </w:tblPr>
      <w:tblGrid>
        <w:gridCol w:w="472"/>
        <w:gridCol w:w="5619"/>
        <w:gridCol w:w="1134"/>
        <w:gridCol w:w="1134"/>
        <w:gridCol w:w="1134"/>
        <w:gridCol w:w="1134"/>
      </w:tblGrid>
      <w:tr w:rsidR="00E772E7" w:rsidRPr="003D2755" w14:paraId="75BEAC03" w14:textId="26AAF3BA" w:rsidTr="003D2755">
        <w:trPr>
          <w:trHeight w:val="261"/>
        </w:trPr>
        <w:tc>
          <w:tcPr>
            <w:tcW w:w="472" w:type="dxa"/>
            <w:vAlign w:val="center"/>
          </w:tcPr>
          <w:p w14:paraId="364E62F8" w14:textId="31618B76" w:rsidR="00E772E7" w:rsidRPr="003D2755" w:rsidRDefault="00E772E7" w:rsidP="005429B2">
            <w:pPr>
              <w:jc w:val="center"/>
              <w:rPr>
                <w:rFonts w:cstheme="minorHAnsi"/>
                <w:sz w:val="18"/>
                <w:szCs w:val="18"/>
                <w:lang w:val="uk-UA"/>
              </w:rPr>
            </w:pPr>
            <w:r w:rsidRPr="003D2755">
              <w:rPr>
                <w:rFonts w:cstheme="minorHAnsi"/>
                <w:sz w:val="18"/>
                <w:szCs w:val="18"/>
                <w:lang w:val="uk-UA"/>
              </w:rPr>
              <w:t>№</w:t>
            </w:r>
          </w:p>
        </w:tc>
        <w:tc>
          <w:tcPr>
            <w:tcW w:w="5619" w:type="dxa"/>
            <w:vAlign w:val="center"/>
          </w:tcPr>
          <w:p w14:paraId="78378654" w14:textId="77777777" w:rsidR="00E772E7" w:rsidRPr="003D2755" w:rsidRDefault="00E772E7" w:rsidP="005429B2">
            <w:pPr>
              <w:jc w:val="center"/>
              <w:rPr>
                <w:rFonts w:cstheme="minorHAnsi"/>
                <w:sz w:val="18"/>
                <w:szCs w:val="18"/>
                <w:lang w:val="uk-UA"/>
              </w:rPr>
            </w:pPr>
            <w:r w:rsidRPr="003D2755">
              <w:rPr>
                <w:rFonts w:eastAsia="Times New Roman" w:cstheme="minorHAnsi"/>
                <w:b/>
                <w:bCs/>
                <w:sz w:val="18"/>
                <w:szCs w:val="18"/>
                <w:lang w:val="uk-UA"/>
              </w:rPr>
              <w:t xml:space="preserve">Найменування / </w:t>
            </w:r>
            <w:r w:rsidRPr="003D2755">
              <w:rPr>
                <w:rFonts w:eastAsia="Times New Roman" w:cstheme="minorHAnsi"/>
                <w:b/>
                <w:bCs/>
                <w:sz w:val="18"/>
                <w:szCs w:val="18"/>
                <w:lang w:val="en-US"/>
              </w:rPr>
              <w:t>Description</w:t>
            </w:r>
            <w:r w:rsidRPr="003D2755">
              <w:rPr>
                <w:rFonts w:eastAsia="Times New Roman" w:cstheme="minorHAnsi"/>
                <w:b/>
                <w:bCs/>
                <w:sz w:val="18"/>
                <w:szCs w:val="18"/>
                <w:lang w:val="uk-UA"/>
              </w:rPr>
              <w:t>*</w:t>
            </w:r>
          </w:p>
        </w:tc>
        <w:tc>
          <w:tcPr>
            <w:tcW w:w="1134" w:type="dxa"/>
            <w:vAlign w:val="center"/>
          </w:tcPr>
          <w:p w14:paraId="0529343D" w14:textId="1A1E1155" w:rsidR="00E772E7" w:rsidRPr="003D2755" w:rsidRDefault="00E772E7" w:rsidP="005429B2">
            <w:pPr>
              <w:jc w:val="center"/>
              <w:rPr>
                <w:rFonts w:cstheme="minorHAnsi"/>
                <w:sz w:val="18"/>
                <w:szCs w:val="18"/>
                <w:lang w:val="uk-UA"/>
              </w:rPr>
            </w:pPr>
            <w:r w:rsidRPr="003D2755">
              <w:rPr>
                <w:rFonts w:eastAsia="Times New Roman" w:cstheme="minorHAnsi"/>
                <w:b/>
                <w:bCs/>
                <w:sz w:val="18"/>
                <w:szCs w:val="18"/>
                <w:lang w:val="en-US"/>
              </w:rPr>
              <w:t>Кількість</w:t>
            </w:r>
            <w:r w:rsidRPr="003D2755">
              <w:rPr>
                <w:rFonts w:eastAsia="Times New Roman" w:cstheme="minorHAnsi"/>
                <w:b/>
                <w:bCs/>
                <w:sz w:val="18"/>
                <w:szCs w:val="18"/>
                <w:lang w:val="uk-UA"/>
              </w:rPr>
              <w:t xml:space="preserve"> </w:t>
            </w:r>
            <w:r w:rsidRPr="003D2755">
              <w:rPr>
                <w:rFonts w:eastAsia="Times New Roman" w:cstheme="minorHAnsi"/>
                <w:b/>
                <w:bCs/>
                <w:sz w:val="18"/>
                <w:szCs w:val="18"/>
                <w:lang w:val="en-US"/>
              </w:rPr>
              <w:t>/ Quantity</w:t>
            </w:r>
          </w:p>
        </w:tc>
        <w:tc>
          <w:tcPr>
            <w:tcW w:w="1134" w:type="dxa"/>
            <w:vAlign w:val="center"/>
          </w:tcPr>
          <w:p w14:paraId="18C5B50C" w14:textId="77777777" w:rsidR="00E772E7" w:rsidRPr="003D2755" w:rsidRDefault="00E772E7" w:rsidP="005429B2">
            <w:pPr>
              <w:jc w:val="center"/>
              <w:rPr>
                <w:rFonts w:cstheme="minorHAnsi"/>
                <w:sz w:val="18"/>
                <w:szCs w:val="18"/>
              </w:rPr>
            </w:pPr>
            <w:r w:rsidRPr="003D2755">
              <w:rPr>
                <w:rStyle w:val="normaltextrun"/>
                <w:rFonts w:cstheme="minorHAnsi"/>
                <w:b/>
                <w:bCs/>
                <w:sz w:val="18"/>
                <w:szCs w:val="18"/>
                <w:shd w:val="clear" w:color="auto" w:fill="FFFFFF"/>
                <w:lang w:val="ru-RU"/>
              </w:rPr>
              <w:t>Ціна</w:t>
            </w:r>
            <w:r w:rsidRPr="003D2755">
              <w:rPr>
                <w:rStyle w:val="normaltextrun"/>
                <w:rFonts w:cstheme="minorHAnsi"/>
                <w:b/>
                <w:bCs/>
                <w:sz w:val="18"/>
                <w:szCs w:val="18"/>
                <w:shd w:val="clear" w:color="auto" w:fill="FFFFFF"/>
                <w:lang w:val="en-US"/>
              </w:rPr>
              <w:t xml:space="preserve"> </w:t>
            </w:r>
            <w:r w:rsidRPr="003D2755">
              <w:rPr>
                <w:rStyle w:val="normaltextrun"/>
                <w:rFonts w:cstheme="minorHAnsi"/>
                <w:b/>
                <w:bCs/>
                <w:sz w:val="18"/>
                <w:szCs w:val="18"/>
                <w:shd w:val="clear" w:color="auto" w:fill="FFFFFF"/>
                <w:lang w:val="ru-RU"/>
              </w:rPr>
              <w:t>за</w:t>
            </w:r>
            <w:r w:rsidRPr="003D2755">
              <w:rPr>
                <w:rStyle w:val="normaltextrun"/>
                <w:rFonts w:cstheme="minorHAnsi"/>
                <w:b/>
                <w:bCs/>
                <w:sz w:val="18"/>
                <w:szCs w:val="18"/>
                <w:shd w:val="clear" w:color="auto" w:fill="FFFFFF"/>
                <w:lang w:val="en-US"/>
              </w:rPr>
              <w:t xml:space="preserve"> </w:t>
            </w:r>
            <w:r w:rsidRPr="003D2755">
              <w:rPr>
                <w:rStyle w:val="normaltextrun"/>
                <w:rFonts w:cstheme="minorHAnsi"/>
                <w:b/>
                <w:bCs/>
                <w:sz w:val="18"/>
                <w:szCs w:val="18"/>
                <w:shd w:val="clear" w:color="auto" w:fill="FFFFFF"/>
                <w:lang w:val="ru-RU"/>
              </w:rPr>
              <w:t>од</w:t>
            </w:r>
            <w:r w:rsidRPr="003D2755">
              <w:rPr>
                <w:rStyle w:val="normaltextrun"/>
                <w:rFonts w:cstheme="minorHAnsi"/>
                <w:b/>
                <w:bCs/>
                <w:sz w:val="18"/>
                <w:szCs w:val="18"/>
                <w:shd w:val="clear" w:color="auto" w:fill="FFFFFF"/>
                <w:lang w:val="en-US"/>
              </w:rPr>
              <w:t xml:space="preserve">. (UAH, </w:t>
            </w:r>
            <w:r w:rsidRPr="003D2755">
              <w:rPr>
                <w:rStyle w:val="normaltextrun"/>
                <w:rFonts w:cstheme="minorHAnsi"/>
                <w:b/>
                <w:bCs/>
                <w:sz w:val="18"/>
                <w:szCs w:val="18"/>
                <w:shd w:val="clear" w:color="auto" w:fill="FFFFFF"/>
                <w:lang w:val="ru-RU"/>
              </w:rPr>
              <w:t>без</w:t>
            </w:r>
            <w:r w:rsidRPr="003D2755">
              <w:rPr>
                <w:rStyle w:val="normaltextrun"/>
                <w:rFonts w:cstheme="minorHAnsi"/>
                <w:b/>
                <w:bCs/>
                <w:sz w:val="18"/>
                <w:szCs w:val="18"/>
                <w:shd w:val="clear" w:color="auto" w:fill="FFFFFF"/>
                <w:lang w:val="en-US"/>
              </w:rPr>
              <w:t xml:space="preserve"> </w:t>
            </w:r>
            <w:r w:rsidRPr="003D2755">
              <w:rPr>
                <w:rStyle w:val="normaltextrun"/>
                <w:rFonts w:cstheme="minorHAnsi"/>
                <w:b/>
                <w:bCs/>
                <w:sz w:val="18"/>
                <w:szCs w:val="18"/>
                <w:shd w:val="clear" w:color="auto" w:fill="FFFFFF"/>
                <w:lang w:val="ru-RU"/>
              </w:rPr>
              <w:t>ПДВ</w:t>
            </w:r>
            <w:r w:rsidRPr="003D2755">
              <w:rPr>
                <w:rStyle w:val="normaltextrun"/>
                <w:rFonts w:cstheme="minorHAnsi"/>
                <w:b/>
                <w:bCs/>
                <w:sz w:val="18"/>
                <w:szCs w:val="18"/>
                <w:shd w:val="clear" w:color="auto" w:fill="FFFFFF"/>
                <w:lang w:val="en-US"/>
              </w:rPr>
              <w:t>)/ Unit Price (UAH, without VAT)</w:t>
            </w:r>
          </w:p>
        </w:tc>
        <w:tc>
          <w:tcPr>
            <w:tcW w:w="1134" w:type="dxa"/>
            <w:vAlign w:val="center"/>
          </w:tcPr>
          <w:p w14:paraId="73BF3944" w14:textId="77777777" w:rsidR="00E772E7" w:rsidRPr="003D2755" w:rsidRDefault="00E772E7" w:rsidP="005429B2">
            <w:pPr>
              <w:jc w:val="center"/>
              <w:rPr>
                <w:rFonts w:cstheme="minorHAnsi"/>
                <w:sz w:val="18"/>
                <w:szCs w:val="18"/>
              </w:rPr>
            </w:pPr>
            <w:r w:rsidRPr="003D2755">
              <w:rPr>
                <w:rStyle w:val="normaltextrun"/>
                <w:rFonts w:cstheme="minorHAnsi"/>
                <w:b/>
                <w:bCs/>
                <w:sz w:val="18"/>
                <w:szCs w:val="18"/>
                <w:shd w:val="clear" w:color="auto" w:fill="FFFFFF"/>
                <w:lang w:val="ru-RU"/>
              </w:rPr>
              <w:t>Всього</w:t>
            </w:r>
            <w:r w:rsidRPr="003D2755">
              <w:rPr>
                <w:rStyle w:val="normaltextrun"/>
                <w:rFonts w:cstheme="minorHAnsi"/>
                <w:b/>
                <w:bCs/>
                <w:sz w:val="18"/>
                <w:szCs w:val="18"/>
                <w:shd w:val="clear" w:color="auto" w:fill="FFFFFF"/>
              </w:rPr>
              <w:t xml:space="preserve"> </w:t>
            </w:r>
            <w:r w:rsidRPr="003D2755">
              <w:rPr>
                <w:rStyle w:val="normaltextrun"/>
                <w:rFonts w:cstheme="minorHAnsi"/>
                <w:b/>
                <w:bCs/>
                <w:sz w:val="18"/>
                <w:szCs w:val="18"/>
                <w:shd w:val="clear" w:color="auto" w:fill="FFFFFF"/>
                <w:lang w:val="ru-RU"/>
              </w:rPr>
              <w:t>ціна</w:t>
            </w:r>
            <w:r w:rsidRPr="003D2755">
              <w:rPr>
                <w:rStyle w:val="normaltextrun"/>
                <w:rFonts w:cstheme="minorHAnsi"/>
                <w:b/>
                <w:bCs/>
                <w:sz w:val="18"/>
                <w:szCs w:val="18"/>
                <w:shd w:val="clear" w:color="auto" w:fill="FFFFFF"/>
              </w:rPr>
              <w:t xml:space="preserve">  (</w:t>
            </w:r>
            <w:r w:rsidRPr="003D2755">
              <w:rPr>
                <w:rStyle w:val="normaltextrun"/>
                <w:rFonts w:cstheme="minorHAnsi"/>
                <w:b/>
                <w:bCs/>
                <w:sz w:val="18"/>
                <w:szCs w:val="18"/>
                <w:shd w:val="clear" w:color="auto" w:fill="FFFFFF"/>
                <w:lang w:val="en-US"/>
              </w:rPr>
              <w:t>UAH</w:t>
            </w:r>
            <w:r w:rsidRPr="003D2755">
              <w:rPr>
                <w:rStyle w:val="normaltextrun"/>
                <w:rFonts w:cstheme="minorHAnsi"/>
                <w:b/>
                <w:bCs/>
                <w:sz w:val="18"/>
                <w:szCs w:val="18"/>
                <w:shd w:val="clear" w:color="auto" w:fill="FFFFFF"/>
              </w:rPr>
              <w:t xml:space="preserve">, </w:t>
            </w:r>
            <w:r w:rsidRPr="003D2755">
              <w:rPr>
                <w:rStyle w:val="normaltextrun"/>
                <w:rFonts w:cstheme="minorHAnsi"/>
                <w:b/>
                <w:bCs/>
                <w:sz w:val="18"/>
                <w:szCs w:val="18"/>
                <w:shd w:val="clear" w:color="auto" w:fill="FFFFFF"/>
                <w:lang w:val="ru-RU"/>
              </w:rPr>
              <w:t>без</w:t>
            </w:r>
            <w:r w:rsidRPr="003D2755">
              <w:rPr>
                <w:rStyle w:val="normaltextrun"/>
                <w:rFonts w:cstheme="minorHAnsi"/>
                <w:b/>
                <w:bCs/>
                <w:sz w:val="18"/>
                <w:szCs w:val="18"/>
                <w:shd w:val="clear" w:color="auto" w:fill="FFFFFF"/>
              </w:rPr>
              <w:t xml:space="preserve"> </w:t>
            </w:r>
            <w:r w:rsidRPr="003D2755">
              <w:rPr>
                <w:rStyle w:val="normaltextrun"/>
                <w:rFonts w:cstheme="minorHAnsi"/>
                <w:b/>
                <w:bCs/>
                <w:sz w:val="18"/>
                <w:szCs w:val="18"/>
                <w:shd w:val="clear" w:color="auto" w:fill="FFFFFF"/>
                <w:lang w:val="ru-RU"/>
              </w:rPr>
              <w:t>ПДВ</w:t>
            </w:r>
            <w:r w:rsidRPr="003D2755">
              <w:rPr>
                <w:rStyle w:val="normaltextrun"/>
                <w:rFonts w:cstheme="minorHAnsi"/>
                <w:b/>
                <w:bCs/>
                <w:sz w:val="18"/>
                <w:szCs w:val="18"/>
                <w:shd w:val="clear" w:color="auto" w:fill="FFFFFF"/>
              </w:rPr>
              <w:t xml:space="preserve">)/ </w:t>
            </w:r>
            <w:r w:rsidRPr="003D2755">
              <w:rPr>
                <w:rStyle w:val="normaltextrun"/>
                <w:rFonts w:cstheme="minorHAnsi"/>
                <w:b/>
                <w:bCs/>
                <w:sz w:val="18"/>
                <w:szCs w:val="18"/>
                <w:shd w:val="clear" w:color="auto" w:fill="FFFFFF"/>
                <w:lang w:val="en-US"/>
              </w:rPr>
              <w:t>Total</w:t>
            </w:r>
            <w:r w:rsidRPr="003D2755">
              <w:rPr>
                <w:rStyle w:val="normaltextrun"/>
                <w:rFonts w:cstheme="minorHAnsi"/>
                <w:b/>
                <w:bCs/>
                <w:sz w:val="18"/>
                <w:szCs w:val="18"/>
                <w:shd w:val="clear" w:color="auto" w:fill="FFFFFF"/>
              </w:rPr>
              <w:t xml:space="preserve"> </w:t>
            </w:r>
            <w:r w:rsidRPr="003D2755">
              <w:rPr>
                <w:rStyle w:val="normaltextrun"/>
                <w:rFonts w:cstheme="minorHAnsi"/>
                <w:b/>
                <w:bCs/>
                <w:sz w:val="18"/>
                <w:szCs w:val="18"/>
                <w:shd w:val="clear" w:color="auto" w:fill="FFFFFF"/>
                <w:lang w:val="en-US"/>
              </w:rPr>
              <w:t>price</w:t>
            </w:r>
            <w:r w:rsidRPr="003D2755">
              <w:rPr>
                <w:rStyle w:val="normaltextrun"/>
                <w:rFonts w:cstheme="minorHAnsi"/>
                <w:b/>
                <w:bCs/>
                <w:sz w:val="18"/>
                <w:szCs w:val="18"/>
                <w:shd w:val="clear" w:color="auto" w:fill="FFFFFF"/>
              </w:rPr>
              <w:t xml:space="preserve"> (</w:t>
            </w:r>
            <w:r w:rsidRPr="003D2755">
              <w:rPr>
                <w:rStyle w:val="normaltextrun"/>
                <w:rFonts w:cstheme="minorHAnsi"/>
                <w:b/>
                <w:bCs/>
                <w:sz w:val="18"/>
                <w:szCs w:val="18"/>
                <w:shd w:val="clear" w:color="auto" w:fill="FFFFFF"/>
                <w:lang w:val="en-US"/>
              </w:rPr>
              <w:t>UAH</w:t>
            </w:r>
            <w:r w:rsidRPr="003D2755">
              <w:rPr>
                <w:rStyle w:val="normaltextrun"/>
                <w:rFonts w:cstheme="minorHAnsi"/>
                <w:b/>
                <w:bCs/>
                <w:sz w:val="18"/>
                <w:szCs w:val="18"/>
                <w:shd w:val="clear" w:color="auto" w:fill="FFFFFF"/>
              </w:rPr>
              <w:t xml:space="preserve">, </w:t>
            </w:r>
            <w:r w:rsidRPr="003D2755">
              <w:rPr>
                <w:rStyle w:val="normaltextrun"/>
                <w:rFonts w:cstheme="minorHAnsi"/>
                <w:b/>
                <w:bCs/>
                <w:sz w:val="18"/>
                <w:szCs w:val="18"/>
                <w:shd w:val="clear" w:color="auto" w:fill="FFFFFF"/>
                <w:lang w:val="en-US"/>
              </w:rPr>
              <w:t>without</w:t>
            </w:r>
            <w:r w:rsidRPr="003D2755">
              <w:rPr>
                <w:rStyle w:val="normaltextrun"/>
                <w:rFonts w:cstheme="minorHAnsi"/>
                <w:b/>
                <w:bCs/>
                <w:sz w:val="18"/>
                <w:szCs w:val="18"/>
                <w:shd w:val="clear" w:color="auto" w:fill="FFFFFF"/>
              </w:rPr>
              <w:t xml:space="preserve"> </w:t>
            </w:r>
            <w:r w:rsidRPr="003D2755">
              <w:rPr>
                <w:rStyle w:val="normaltextrun"/>
                <w:rFonts w:cstheme="minorHAnsi"/>
                <w:b/>
                <w:bCs/>
                <w:sz w:val="18"/>
                <w:szCs w:val="18"/>
                <w:shd w:val="clear" w:color="auto" w:fill="FFFFFF"/>
                <w:lang w:val="en-US"/>
              </w:rPr>
              <w:t>VAT</w:t>
            </w:r>
            <w:r w:rsidRPr="003D2755">
              <w:rPr>
                <w:rStyle w:val="normaltextrun"/>
                <w:rFonts w:cstheme="minorHAnsi"/>
                <w:b/>
                <w:bCs/>
                <w:sz w:val="18"/>
                <w:szCs w:val="18"/>
                <w:shd w:val="clear" w:color="auto" w:fill="FFFFFF"/>
              </w:rPr>
              <w:t>)</w:t>
            </w:r>
          </w:p>
        </w:tc>
        <w:tc>
          <w:tcPr>
            <w:tcW w:w="1134" w:type="dxa"/>
          </w:tcPr>
          <w:p w14:paraId="388E63FD" w14:textId="77777777" w:rsidR="00E772E7" w:rsidRPr="003D2755" w:rsidRDefault="00E772E7" w:rsidP="005429B2">
            <w:pPr>
              <w:jc w:val="center"/>
              <w:rPr>
                <w:rStyle w:val="normaltextrun"/>
                <w:rFonts w:cstheme="minorHAnsi"/>
                <w:b/>
                <w:bCs/>
                <w:sz w:val="18"/>
                <w:szCs w:val="18"/>
                <w:shd w:val="clear" w:color="auto" w:fill="FFFFFF"/>
                <w:lang w:val="uk-UA"/>
              </w:rPr>
            </w:pPr>
            <w:r w:rsidRPr="003D2755">
              <w:rPr>
                <w:rStyle w:val="normaltextrun"/>
                <w:rFonts w:cstheme="minorHAnsi"/>
                <w:b/>
                <w:bCs/>
                <w:sz w:val="18"/>
                <w:szCs w:val="18"/>
                <w:shd w:val="clear" w:color="auto" w:fill="FFFFFF"/>
                <w:lang w:val="uk-UA"/>
              </w:rPr>
              <w:t xml:space="preserve">Строки надання послуг / </w:t>
            </w:r>
          </w:p>
          <w:p w14:paraId="0754DC73" w14:textId="5AC567E6" w:rsidR="00E772E7" w:rsidRPr="003D2755" w:rsidRDefault="00E772E7" w:rsidP="005429B2">
            <w:pPr>
              <w:jc w:val="center"/>
              <w:rPr>
                <w:rStyle w:val="normaltextrun"/>
                <w:rFonts w:cstheme="minorHAnsi"/>
                <w:b/>
                <w:bCs/>
                <w:sz w:val="18"/>
                <w:szCs w:val="18"/>
                <w:shd w:val="clear" w:color="auto" w:fill="FFFFFF"/>
                <w:lang w:val="en-US"/>
              </w:rPr>
            </w:pPr>
            <w:r w:rsidRPr="003D2755">
              <w:rPr>
                <w:rStyle w:val="normaltextrun"/>
                <w:rFonts w:cstheme="minorHAnsi"/>
                <w:b/>
                <w:bCs/>
                <w:sz w:val="18"/>
                <w:szCs w:val="18"/>
                <w:shd w:val="clear" w:color="auto" w:fill="FFFFFF"/>
                <w:lang w:val="en-US"/>
              </w:rPr>
              <w:t>Service provision term</w:t>
            </w:r>
          </w:p>
        </w:tc>
      </w:tr>
      <w:tr w:rsidR="003538F8" w:rsidRPr="003D2755" w14:paraId="24A2803E" w14:textId="5D99CBE4" w:rsidTr="00453019">
        <w:trPr>
          <w:trHeight w:val="451"/>
        </w:trPr>
        <w:tc>
          <w:tcPr>
            <w:tcW w:w="10627" w:type="dxa"/>
            <w:gridSpan w:val="6"/>
          </w:tcPr>
          <w:p w14:paraId="408312E5" w14:textId="7F78F2E8" w:rsidR="003538F8" w:rsidRPr="003538F8" w:rsidRDefault="003538F8" w:rsidP="00F75035">
            <w:pPr>
              <w:jc w:val="center"/>
              <w:rPr>
                <w:rFonts w:cstheme="minorHAnsi"/>
                <w:b/>
                <w:bCs/>
                <w:sz w:val="20"/>
                <w:szCs w:val="20"/>
              </w:rPr>
            </w:pPr>
            <w:r w:rsidRPr="003538F8">
              <w:rPr>
                <w:rFonts w:cstheme="minorHAnsi"/>
                <w:b/>
                <w:bCs/>
                <w:sz w:val="20"/>
                <w:szCs w:val="20"/>
              </w:rPr>
              <w:t xml:space="preserve">Conducting a seminar "Risk Management and Assurance of Result Reliability in Bacteriological Laboratories Accredited to ISO 15189:2022"*/ </w:t>
            </w:r>
          </w:p>
          <w:p w14:paraId="702FD8CB" w14:textId="5E0BBAEC" w:rsidR="003538F8" w:rsidRPr="003D2755" w:rsidRDefault="003538F8" w:rsidP="00F75035">
            <w:pPr>
              <w:jc w:val="center"/>
              <w:rPr>
                <w:rFonts w:cstheme="minorHAnsi"/>
                <w:b/>
                <w:bCs/>
                <w:sz w:val="18"/>
                <w:szCs w:val="18"/>
              </w:rPr>
            </w:pPr>
            <w:r w:rsidRPr="003538F8">
              <w:rPr>
                <w:rFonts w:cstheme="minorHAnsi"/>
                <w:b/>
                <w:bCs/>
                <w:sz w:val="20"/>
                <w:szCs w:val="20"/>
              </w:rPr>
              <w:t>Проведення навчального семінару «Управління ризиками та забезпечення надійності результатів у бактеріологічних лабораторіях, акредитованих за стандартом ISO 15189:2022»*</w:t>
            </w:r>
          </w:p>
        </w:tc>
      </w:tr>
      <w:tr w:rsidR="00136FC2" w:rsidRPr="003D2755" w14:paraId="7CA2AE7A" w14:textId="769CE452" w:rsidTr="003D2755">
        <w:trPr>
          <w:trHeight w:val="451"/>
        </w:trPr>
        <w:tc>
          <w:tcPr>
            <w:tcW w:w="472" w:type="dxa"/>
          </w:tcPr>
          <w:p w14:paraId="2ED9EB2C" w14:textId="062FEBE9" w:rsidR="00136FC2" w:rsidRPr="003D2755" w:rsidRDefault="00136FC2" w:rsidP="00136FC2">
            <w:pPr>
              <w:jc w:val="center"/>
              <w:rPr>
                <w:rFonts w:cstheme="minorHAnsi"/>
                <w:sz w:val="18"/>
                <w:szCs w:val="18"/>
                <w:lang w:val="uk-UA"/>
              </w:rPr>
            </w:pPr>
            <w:r w:rsidRPr="003D2755">
              <w:rPr>
                <w:rFonts w:cstheme="minorHAnsi"/>
                <w:sz w:val="18"/>
                <w:szCs w:val="18"/>
                <w:lang w:val="uk-UA"/>
              </w:rPr>
              <w:t>1</w:t>
            </w:r>
          </w:p>
        </w:tc>
        <w:tc>
          <w:tcPr>
            <w:tcW w:w="5619" w:type="dxa"/>
          </w:tcPr>
          <w:p w14:paraId="110E6ED8" w14:textId="030EC754" w:rsidR="00136FC2" w:rsidRPr="003D2755" w:rsidRDefault="00136FC2" w:rsidP="000405C5">
            <w:pPr>
              <w:rPr>
                <w:rFonts w:eastAsia="Times New Roman" w:cstheme="minorHAnsi"/>
                <w:color w:val="000000"/>
                <w:sz w:val="18"/>
                <w:szCs w:val="18"/>
                <w:lang w:val="en-US"/>
              </w:rPr>
            </w:pPr>
            <w:r w:rsidRPr="003D2755">
              <w:rPr>
                <w:rFonts w:eastAsia="Times New Roman" w:cstheme="minorHAnsi"/>
                <w:color w:val="000000"/>
                <w:sz w:val="18"/>
                <w:szCs w:val="18"/>
              </w:rPr>
              <w:t>Provi</w:t>
            </w:r>
            <w:r w:rsidRPr="003D2755">
              <w:rPr>
                <w:rFonts w:eastAsia="Times New Roman" w:cstheme="minorHAnsi"/>
                <w:color w:val="000000"/>
                <w:sz w:val="18"/>
                <w:szCs w:val="18"/>
                <w:lang w:val="en-US"/>
              </w:rPr>
              <w:t>sion of</w:t>
            </w:r>
            <w:r w:rsidRPr="003D2755">
              <w:rPr>
                <w:rFonts w:eastAsia="Times New Roman" w:cstheme="minorHAnsi"/>
                <w:color w:val="000000"/>
                <w:sz w:val="18"/>
                <w:szCs w:val="18"/>
              </w:rPr>
              <w:t xml:space="preserve"> </w:t>
            </w:r>
            <w:r w:rsidR="00CD0D13" w:rsidRPr="003D2755">
              <w:rPr>
                <w:rFonts w:eastAsia="Times New Roman" w:cstheme="minorHAnsi"/>
                <w:color w:val="000000"/>
                <w:sz w:val="18"/>
                <w:szCs w:val="18"/>
              </w:rPr>
              <w:t xml:space="preserve">an </w:t>
            </w:r>
            <w:r w:rsidRPr="003D2755">
              <w:rPr>
                <w:rFonts w:eastAsia="Times New Roman" w:cstheme="minorHAnsi"/>
                <w:color w:val="000000"/>
                <w:sz w:val="18"/>
                <w:szCs w:val="18"/>
              </w:rPr>
              <w:t>online seminar "Risk Management and Assurance of Result Reliability in Bacteriological Laboratories Accredited to ISO 15189:2022"</w:t>
            </w:r>
          </w:p>
          <w:p w14:paraId="22491ED7" w14:textId="65BAFE1A" w:rsidR="00136FC2" w:rsidRPr="003D2755" w:rsidRDefault="00136FC2" w:rsidP="000405C5">
            <w:pPr>
              <w:rPr>
                <w:rFonts w:eastAsia="Times New Roman" w:cstheme="minorHAnsi"/>
                <w:color w:val="000000"/>
                <w:sz w:val="18"/>
                <w:szCs w:val="18"/>
                <w:lang w:val="en-US"/>
              </w:rPr>
            </w:pPr>
            <w:r w:rsidRPr="003D2755">
              <w:rPr>
                <w:rFonts w:eastAsia="Times New Roman" w:cstheme="minorHAnsi"/>
                <w:color w:val="000000"/>
                <w:sz w:val="18"/>
                <w:szCs w:val="18"/>
                <w:lang w:val="en-US"/>
              </w:rPr>
              <w:t>Included</w:t>
            </w:r>
            <w:r w:rsidRPr="003D2755">
              <w:rPr>
                <w:rFonts w:eastAsia="Times New Roman" w:cstheme="minorHAnsi"/>
                <w:color w:val="000000"/>
                <w:sz w:val="18"/>
                <w:szCs w:val="18"/>
                <w:lang w:val="uk-UA"/>
              </w:rPr>
              <w:t>:</w:t>
            </w:r>
          </w:p>
          <w:p w14:paraId="5775F9B9" w14:textId="77777777" w:rsidR="00136FC2" w:rsidRPr="000405C5" w:rsidRDefault="00136FC2" w:rsidP="000405C5">
            <w:pPr>
              <w:pStyle w:val="ListParagraph"/>
              <w:numPr>
                <w:ilvl w:val="0"/>
                <w:numId w:val="10"/>
              </w:numPr>
              <w:spacing w:after="0" w:line="240" w:lineRule="auto"/>
              <w:rPr>
                <w:rFonts w:eastAsia="Times New Roman" w:cstheme="minorHAnsi"/>
                <w:color w:val="000000"/>
                <w:sz w:val="18"/>
                <w:szCs w:val="18"/>
              </w:rPr>
            </w:pPr>
            <w:r w:rsidRPr="000405C5">
              <w:rPr>
                <w:rFonts w:eastAsia="Times New Roman" w:cstheme="minorHAnsi"/>
                <w:color w:val="000000"/>
                <w:sz w:val="18"/>
                <w:szCs w:val="18"/>
              </w:rPr>
              <w:t xml:space="preserve">6 hours online lectures, </w:t>
            </w:r>
          </w:p>
          <w:p w14:paraId="62FE4C71" w14:textId="77777777" w:rsidR="00136FC2" w:rsidRPr="000405C5" w:rsidRDefault="00136FC2" w:rsidP="000405C5">
            <w:pPr>
              <w:pStyle w:val="ListParagraph"/>
              <w:numPr>
                <w:ilvl w:val="0"/>
                <w:numId w:val="10"/>
              </w:numPr>
              <w:spacing w:after="0" w:line="240" w:lineRule="auto"/>
              <w:rPr>
                <w:rFonts w:eastAsia="Times New Roman" w:cstheme="minorHAnsi"/>
                <w:color w:val="000000"/>
                <w:sz w:val="18"/>
                <w:szCs w:val="18"/>
              </w:rPr>
            </w:pPr>
            <w:r w:rsidRPr="000405C5">
              <w:rPr>
                <w:rFonts w:eastAsia="Times New Roman" w:cstheme="minorHAnsi"/>
                <w:color w:val="000000"/>
                <w:sz w:val="18"/>
                <w:szCs w:val="18"/>
              </w:rPr>
              <w:t xml:space="preserve">two-three experts </w:t>
            </w:r>
            <w:r w:rsidR="00832256" w:rsidRPr="000405C5">
              <w:rPr>
                <w:rFonts w:eastAsia="Times New Roman" w:cstheme="minorHAnsi"/>
                <w:color w:val="000000"/>
                <w:sz w:val="18"/>
                <w:szCs w:val="18"/>
                <w:lang w:val="en-US"/>
              </w:rPr>
              <w:t>/</w:t>
            </w:r>
          </w:p>
          <w:p w14:paraId="0C0E52FA" w14:textId="77777777" w:rsidR="000405C5" w:rsidRDefault="000405C5" w:rsidP="000405C5">
            <w:pPr>
              <w:rPr>
                <w:rFonts w:eastAsia="Times New Roman" w:cstheme="minorHAnsi"/>
                <w:color w:val="000000"/>
                <w:sz w:val="18"/>
                <w:szCs w:val="18"/>
                <w:lang w:val="uk-UA"/>
              </w:rPr>
            </w:pPr>
          </w:p>
          <w:p w14:paraId="51F26C14" w14:textId="753EFA1E" w:rsidR="00AE547F" w:rsidRPr="003D2755" w:rsidRDefault="00AE547F" w:rsidP="000405C5">
            <w:pPr>
              <w:rPr>
                <w:rFonts w:eastAsia="Times New Roman" w:cstheme="minorHAnsi"/>
                <w:color w:val="000000"/>
                <w:sz w:val="18"/>
                <w:szCs w:val="18"/>
                <w:lang w:val="uk-UA"/>
              </w:rPr>
            </w:pPr>
            <w:r w:rsidRPr="003D2755">
              <w:rPr>
                <w:rFonts w:eastAsia="Times New Roman" w:cstheme="minorHAnsi"/>
                <w:color w:val="000000"/>
                <w:sz w:val="18"/>
                <w:szCs w:val="18"/>
                <w:lang w:val="uk-UA"/>
              </w:rPr>
              <w:t>Проведення онлайн-семінару «Управління ризиками та забезпечення надійності результатів у бактеріологічних лабораторіях, акредитованих за ISO 15189:2022»</w:t>
            </w:r>
          </w:p>
          <w:p w14:paraId="2D949012" w14:textId="21E96831" w:rsidR="00AE547F" w:rsidRPr="000405C5" w:rsidRDefault="00AE547F" w:rsidP="000405C5">
            <w:pPr>
              <w:pStyle w:val="ListParagraph"/>
              <w:numPr>
                <w:ilvl w:val="0"/>
                <w:numId w:val="10"/>
              </w:numPr>
              <w:spacing w:after="0" w:line="240" w:lineRule="auto"/>
              <w:rPr>
                <w:rFonts w:eastAsia="Times New Roman" w:cstheme="minorHAnsi"/>
                <w:color w:val="000000"/>
                <w:sz w:val="18"/>
                <w:szCs w:val="18"/>
              </w:rPr>
            </w:pPr>
            <w:r w:rsidRPr="000405C5">
              <w:rPr>
                <w:rFonts w:eastAsia="Times New Roman" w:cstheme="minorHAnsi"/>
                <w:color w:val="000000"/>
                <w:sz w:val="18"/>
                <w:szCs w:val="18"/>
              </w:rPr>
              <w:t>6 годин онлайн-лекцій,</w:t>
            </w:r>
          </w:p>
          <w:p w14:paraId="791FC907" w14:textId="1A65382D" w:rsidR="00832256" w:rsidRPr="000405C5" w:rsidRDefault="00AE547F" w:rsidP="000405C5">
            <w:pPr>
              <w:pStyle w:val="ListParagraph"/>
              <w:numPr>
                <w:ilvl w:val="0"/>
                <w:numId w:val="10"/>
              </w:numPr>
              <w:spacing w:after="0" w:line="240" w:lineRule="auto"/>
              <w:rPr>
                <w:rFonts w:eastAsia="Times New Roman" w:cstheme="minorHAnsi"/>
                <w:color w:val="000000"/>
                <w:sz w:val="18"/>
                <w:szCs w:val="18"/>
              </w:rPr>
            </w:pPr>
            <w:r w:rsidRPr="000405C5">
              <w:rPr>
                <w:rFonts w:eastAsia="Times New Roman" w:cstheme="minorHAnsi"/>
                <w:color w:val="000000"/>
                <w:sz w:val="18"/>
                <w:szCs w:val="18"/>
              </w:rPr>
              <w:t>два-три експерти</w:t>
            </w:r>
          </w:p>
        </w:tc>
        <w:tc>
          <w:tcPr>
            <w:tcW w:w="1134" w:type="dxa"/>
          </w:tcPr>
          <w:p w14:paraId="53700DC6" w14:textId="45DFC2DA" w:rsidR="00136FC2" w:rsidRPr="003D2755" w:rsidRDefault="00136FC2" w:rsidP="00136FC2">
            <w:pPr>
              <w:jc w:val="center"/>
              <w:rPr>
                <w:rFonts w:cstheme="minorHAnsi"/>
                <w:sz w:val="18"/>
                <w:szCs w:val="18"/>
                <w:lang w:val="en-US"/>
              </w:rPr>
            </w:pPr>
            <w:r w:rsidRPr="003D2755">
              <w:rPr>
                <w:rFonts w:cstheme="minorHAnsi"/>
                <w:sz w:val="18"/>
                <w:szCs w:val="18"/>
                <w:lang w:val="uk-UA"/>
              </w:rPr>
              <w:t xml:space="preserve">30 </w:t>
            </w:r>
            <w:r w:rsidRPr="003D2755">
              <w:rPr>
                <w:rFonts w:cstheme="minorHAnsi"/>
                <w:sz w:val="18"/>
                <w:szCs w:val="18"/>
                <w:lang w:val="en-US"/>
              </w:rPr>
              <w:t xml:space="preserve">participants / </w:t>
            </w:r>
            <w:r w:rsidRPr="003D2755">
              <w:rPr>
                <w:rFonts w:cstheme="minorHAnsi"/>
                <w:sz w:val="18"/>
                <w:szCs w:val="18"/>
                <w:lang w:val="uk-UA"/>
              </w:rPr>
              <w:t>учасників</w:t>
            </w:r>
          </w:p>
        </w:tc>
        <w:tc>
          <w:tcPr>
            <w:tcW w:w="1134" w:type="dxa"/>
          </w:tcPr>
          <w:p w14:paraId="0CCD4511" w14:textId="77777777" w:rsidR="00136FC2" w:rsidRPr="003D2755" w:rsidRDefault="00136FC2" w:rsidP="00136FC2">
            <w:pPr>
              <w:rPr>
                <w:rFonts w:cstheme="minorHAnsi"/>
                <w:sz w:val="18"/>
                <w:szCs w:val="18"/>
                <w:lang w:val="en-US"/>
              </w:rPr>
            </w:pPr>
          </w:p>
        </w:tc>
        <w:tc>
          <w:tcPr>
            <w:tcW w:w="1134" w:type="dxa"/>
          </w:tcPr>
          <w:p w14:paraId="39DF5260" w14:textId="77777777" w:rsidR="00136FC2" w:rsidRPr="003D2755" w:rsidRDefault="00136FC2" w:rsidP="00136FC2">
            <w:pPr>
              <w:jc w:val="center"/>
              <w:rPr>
                <w:rFonts w:cstheme="minorHAnsi"/>
                <w:sz w:val="18"/>
                <w:szCs w:val="18"/>
                <w:lang w:val="uk-UA"/>
              </w:rPr>
            </w:pPr>
          </w:p>
        </w:tc>
        <w:tc>
          <w:tcPr>
            <w:tcW w:w="1134" w:type="dxa"/>
          </w:tcPr>
          <w:p w14:paraId="7BF0124D" w14:textId="424515CE" w:rsidR="00136FC2" w:rsidRPr="003D2755" w:rsidRDefault="2340D52C" w:rsidP="09C4C6A2">
            <w:pPr>
              <w:jc w:val="center"/>
              <w:rPr>
                <w:rFonts w:cstheme="minorHAnsi"/>
                <w:sz w:val="18"/>
                <w:szCs w:val="18"/>
                <w:lang w:val="uk-UA"/>
              </w:rPr>
            </w:pPr>
            <w:r w:rsidRPr="003D2755">
              <w:rPr>
                <w:rFonts w:cstheme="minorHAnsi"/>
                <w:sz w:val="18"/>
                <w:szCs w:val="18"/>
                <w:lang w:val="uk-UA"/>
              </w:rPr>
              <w:t xml:space="preserve">Березень – </w:t>
            </w:r>
            <w:r w:rsidR="278FDE01" w:rsidRPr="003D2755">
              <w:rPr>
                <w:rFonts w:cstheme="minorHAnsi"/>
                <w:sz w:val="18"/>
                <w:szCs w:val="18"/>
                <w:lang w:val="uk-UA"/>
              </w:rPr>
              <w:t>Травень</w:t>
            </w:r>
            <w:r w:rsidRPr="003D2755">
              <w:rPr>
                <w:rFonts w:cstheme="minorHAnsi"/>
                <w:sz w:val="18"/>
                <w:szCs w:val="18"/>
                <w:lang w:val="uk-UA"/>
              </w:rPr>
              <w:t xml:space="preserve"> 2026 / </w:t>
            </w:r>
            <w:r w:rsidRPr="003D2755">
              <w:rPr>
                <w:rFonts w:cstheme="minorHAnsi"/>
                <w:sz w:val="18"/>
                <w:szCs w:val="18"/>
                <w:lang w:val="en-US"/>
              </w:rPr>
              <w:t xml:space="preserve">March – </w:t>
            </w:r>
            <w:r w:rsidR="0F288E32" w:rsidRPr="003D2755">
              <w:rPr>
                <w:rFonts w:cstheme="minorHAnsi"/>
                <w:sz w:val="18"/>
                <w:szCs w:val="18"/>
                <w:lang w:val="en-US"/>
              </w:rPr>
              <w:t>May</w:t>
            </w:r>
            <w:r w:rsidRPr="003D2755">
              <w:rPr>
                <w:rFonts w:cstheme="minorHAnsi"/>
                <w:sz w:val="18"/>
                <w:szCs w:val="18"/>
                <w:lang w:val="en-US"/>
              </w:rPr>
              <w:t xml:space="preserve"> 202</w:t>
            </w:r>
            <w:r w:rsidRPr="003D2755">
              <w:rPr>
                <w:rFonts w:cstheme="minorHAnsi"/>
                <w:sz w:val="18"/>
                <w:szCs w:val="18"/>
                <w:lang w:val="uk-UA"/>
              </w:rPr>
              <w:t>6</w:t>
            </w:r>
          </w:p>
        </w:tc>
      </w:tr>
      <w:tr w:rsidR="00136FC2" w:rsidRPr="003D2755" w14:paraId="2C9E8010" w14:textId="43FAFF32" w:rsidTr="003D2755">
        <w:trPr>
          <w:trHeight w:val="416"/>
        </w:trPr>
        <w:tc>
          <w:tcPr>
            <w:tcW w:w="472" w:type="dxa"/>
          </w:tcPr>
          <w:p w14:paraId="080C7B87" w14:textId="777A0C67" w:rsidR="00136FC2" w:rsidRPr="003D2755" w:rsidRDefault="00136FC2" w:rsidP="00136FC2">
            <w:pPr>
              <w:jc w:val="center"/>
              <w:rPr>
                <w:rFonts w:cstheme="minorHAnsi"/>
                <w:sz w:val="18"/>
                <w:szCs w:val="18"/>
                <w:lang w:val="uk-UA"/>
              </w:rPr>
            </w:pPr>
            <w:r w:rsidRPr="003D2755">
              <w:rPr>
                <w:rFonts w:cstheme="minorHAnsi"/>
                <w:sz w:val="18"/>
                <w:szCs w:val="18"/>
                <w:lang w:val="uk-UA"/>
              </w:rPr>
              <w:t>2</w:t>
            </w:r>
          </w:p>
        </w:tc>
        <w:tc>
          <w:tcPr>
            <w:tcW w:w="5619" w:type="dxa"/>
          </w:tcPr>
          <w:p w14:paraId="6C94B008" w14:textId="6901A1F4" w:rsidR="00136FC2" w:rsidRPr="003D2755" w:rsidRDefault="00136FC2" w:rsidP="000405C5">
            <w:pPr>
              <w:rPr>
                <w:rFonts w:eastAsia="Times New Roman" w:cstheme="minorHAnsi"/>
                <w:color w:val="000000"/>
                <w:sz w:val="18"/>
                <w:szCs w:val="18"/>
              </w:rPr>
            </w:pPr>
            <w:r w:rsidRPr="003D2755">
              <w:rPr>
                <w:rFonts w:eastAsia="Times New Roman" w:cstheme="minorHAnsi"/>
                <w:color w:val="000000"/>
                <w:sz w:val="18"/>
                <w:szCs w:val="18"/>
              </w:rPr>
              <w:t>Provi</w:t>
            </w:r>
            <w:r w:rsidRPr="003D2755">
              <w:rPr>
                <w:rFonts w:eastAsia="Times New Roman" w:cstheme="minorHAnsi"/>
                <w:color w:val="000000"/>
                <w:sz w:val="18"/>
                <w:szCs w:val="18"/>
                <w:lang w:val="en-US"/>
              </w:rPr>
              <w:t>sion of</w:t>
            </w:r>
            <w:r w:rsidRPr="003D2755">
              <w:rPr>
                <w:rFonts w:eastAsia="Times New Roman" w:cstheme="minorHAnsi"/>
                <w:color w:val="000000"/>
                <w:sz w:val="18"/>
                <w:szCs w:val="18"/>
              </w:rPr>
              <w:t xml:space="preserve"> offline seminar "Risk Management and Assurance of Result Reliability in Bacteriological Laboratories Accredited to ISO 15189:2022"</w:t>
            </w:r>
          </w:p>
          <w:p w14:paraId="3C8B4442" w14:textId="6039E103" w:rsidR="00136FC2" w:rsidRPr="003D2755" w:rsidRDefault="00136FC2" w:rsidP="000405C5">
            <w:pPr>
              <w:rPr>
                <w:rFonts w:eastAsia="Times New Roman" w:cstheme="minorHAnsi"/>
                <w:color w:val="000000"/>
                <w:sz w:val="18"/>
                <w:szCs w:val="18"/>
                <w:lang w:val="uk-UA"/>
              </w:rPr>
            </w:pPr>
            <w:r w:rsidRPr="003D2755">
              <w:rPr>
                <w:rFonts w:eastAsia="Times New Roman" w:cstheme="minorHAnsi"/>
                <w:color w:val="000000"/>
                <w:sz w:val="18"/>
                <w:szCs w:val="18"/>
                <w:lang w:val="en-US"/>
              </w:rPr>
              <w:t>Included</w:t>
            </w:r>
            <w:r w:rsidRPr="003D2755">
              <w:rPr>
                <w:rFonts w:eastAsia="Times New Roman" w:cstheme="minorHAnsi"/>
                <w:color w:val="000000"/>
                <w:sz w:val="18"/>
                <w:szCs w:val="18"/>
                <w:lang w:val="uk-UA"/>
              </w:rPr>
              <w:t>:</w:t>
            </w:r>
          </w:p>
          <w:p w14:paraId="698122CA" w14:textId="77777777" w:rsidR="00136FC2" w:rsidRPr="000405C5" w:rsidRDefault="00136FC2" w:rsidP="000405C5">
            <w:pPr>
              <w:pStyle w:val="ListParagraph"/>
              <w:numPr>
                <w:ilvl w:val="0"/>
                <w:numId w:val="13"/>
              </w:numPr>
              <w:spacing w:after="0"/>
              <w:rPr>
                <w:rFonts w:cstheme="minorHAnsi"/>
                <w:sz w:val="18"/>
                <w:szCs w:val="18"/>
                <w:lang w:val="en-US"/>
              </w:rPr>
            </w:pPr>
            <w:r w:rsidRPr="000405C5">
              <w:rPr>
                <w:rFonts w:eastAsia="Times New Roman" w:cstheme="minorHAnsi"/>
                <w:color w:val="000000"/>
                <w:sz w:val="18"/>
                <w:szCs w:val="18"/>
              </w:rPr>
              <w:t xml:space="preserve">3,5 days offline lectures and practical exercises, </w:t>
            </w:r>
          </w:p>
          <w:p w14:paraId="346CF36B" w14:textId="505A7AAA" w:rsidR="00136FC2" w:rsidRPr="000405C5" w:rsidRDefault="00136FC2" w:rsidP="000405C5">
            <w:pPr>
              <w:pStyle w:val="ListParagraph"/>
              <w:numPr>
                <w:ilvl w:val="0"/>
                <w:numId w:val="13"/>
              </w:numPr>
              <w:spacing w:after="0"/>
              <w:rPr>
                <w:rFonts w:cstheme="minorHAnsi"/>
                <w:sz w:val="18"/>
                <w:szCs w:val="18"/>
                <w:lang w:val="en-US"/>
              </w:rPr>
            </w:pPr>
            <w:r w:rsidRPr="000405C5">
              <w:rPr>
                <w:rFonts w:eastAsia="Times New Roman" w:cstheme="minorHAnsi"/>
                <w:color w:val="000000"/>
                <w:sz w:val="18"/>
                <w:szCs w:val="18"/>
              </w:rPr>
              <w:t xml:space="preserve">three experts </w:t>
            </w:r>
          </w:p>
          <w:p w14:paraId="11A1ECB4" w14:textId="77777777" w:rsidR="00AE547F" w:rsidRPr="000405C5" w:rsidRDefault="390337AE" w:rsidP="000405C5">
            <w:pPr>
              <w:pStyle w:val="ListParagraph"/>
              <w:numPr>
                <w:ilvl w:val="0"/>
                <w:numId w:val="13"/>
              </w:numPr>
              <w:spacing w:after="0"/>
              <w:rPr>
                <w:rFonts w:cstheme="minorHAnsi"/>
                <w:sz w:val="18"/>
                <w:szCs w:val="18"/>
                <w:lang w:val="en-US"/>
              </w:rPr>
            </w:pPr>
            <w:r w:rsidRPr="000405C5">
              <w:rPr>
                <w:rFonts w:cstheme="minorHAnsi"/>
                <w:sz w:val="18"/>
                <w:szCs w:val="18"/>
                <w:lang w:val="en-US"/>
              </w:rPr>
              <w:t xml:space="preserve">diploma or certificate of successful completion of training/ </w:t>
            </w:r>
          </w:p>
          <w:p w14:paraId="2838C38E" w14:textId="77777777" w:rsidR="000405C5" w:rsidRDefault="000405C5" w:rsidP="000405C5">
            <w:pPr>
              <w:rPr>
                <w:rFonts w:eastAsia="Times New Roman" w:cstheme="minorHAnsi"/>
                <w:color w:val="000000"/>
                <w:sz w:val="18"/>
                <w:szCs w:val="18"/>
                <w:lang w:val="uk-UA"/>
              </w:rPr>
            </w:pPr>
          </w:p>
          <w:p w14:paraId="2061908B" w14:textId="1C9200E3" w:rsidR="00CD53D2" w:rsidRPr="003D2755" w:rsidRDefault="00CD53D2" w:rsidP="000405C5">
            <w:pPr>
              <w:rPr>
                <w:rFonts w:eastAsia="Times New Roman" w:cstheme="minorHAnsi"/>
                <w:color w:val="000000"/>
                <w:sz w:val="18"/>
                <w:szCs w:val="18"/>
                <w:lang w:val="uk-UA"/>
              </w:rPr>
            </w:pPr>
            <w:r w:rsidRPr="003D2755">
              <w:rPr>
                <w:rFonts w:eastAsia="Times New Roman" w:cstheme="minorHAnsi"/>
                <w:color w:val="000000"/>
                <w:sz w:val="18"/>
                <w:szCs w:val="18"/>
                <w:lang w:val="uk-UA"/>
              </w:rPr>
              <w:t>Проведення офлайн-семінару «Управління ризиками та забезпечення надійності результатів у бактеріологічних лабораторіях, акредитованих за ISO 15189:2022»</w:t>
            </w:r>
          </w:p>
          <w:p w14:paraId="016B69C3" w14:textId="77777777" w:rsidR="00CD53D2" w:rsidRPr="003D2755" w:rsidRDefault="00CD53D2" w:rsidP="000405C5">
            <w:pPr>
              <w:rPr>
                <w:rFonts w:eastAsia="Times New Roman" w:cstheme="minorHAnsi"/>
                <w:color w:val="000000"/>
                <w:sz w:val="18"/>
                <w:szCs w:val="18"/>
                <w:lang w:val="uk-UA"/>
              </w:rPr>
            </w:pPr>
            <w:r w:rsidRPr="003D2755">
              <w:rPr>
                <w:rFonts w:eastAsia="Times New Roman" w:cstheme="minorHAnsi"/>
                <w:color w:val="000000"/>
                <w:sz w:val="18"/>
                <w:szCs w:val="18"/>
                <w:lang w:val="uk-UA"/>
              </w:rPr>
              <w:t>Включено:</w:t>
            </w:r>
          </w:p>
          <w:p w14:paraId="3B380E45" w14:textId="4C275589" w:rsidR="003D2755" w:rsidRPr="000405C5" w:rsidRDefault="003D2755" w:rsidP="000405C5">
            <w:pPr>
              <w:pStyle w:val="ListParagraph"/>
              <w:numPr>
                <w:ilvl w:val="0"/>
                <w:numId w:val="13"/>
              </w:numPr>
              <w:spacing w:after="0"/>
              <w:rPr>
                <w:rFonts w:eastAsia="Times New Roman" w:cstheme="minorHAnsi"/>
                <w:color w:val="000000"/>
                <w:sz w:val="18"/>
                <w:szCs w:val="18"/>
              </w:rPr>
            </w:pPr>
            <w:r w:rsidRPr="000405C5">
              <w:rPr>
                <w:rFonts w:eastAsia="Times New Roman" w:cstheme="minorHAnsi"/>
                <w:color w:val="000000"/>
                <w:sz w:val="18"/>
                <w:szCs w:val="18"/>
              </w:rPr>
              <w:t>3,5 дні офлайн-лекцій та практичних занять,</w:t>
            </w:r>
          </w:p>
          <w:p w14:paraId="7088416F" w14:textId="2A220E49" w:rsidR="003D2755" w:rsidRPr="000405C5" w:rsidRDefault="003D2755" w:rsidP="000405C5">
            <w:pPr>
              <w:pStyle w:val="ListParagraph"/>
              <w:numPr>
                <w:ilvl w:val="0"/>
                <w:numId w:val="13"/>
              </w:numPr>
              <w:spacing w:after="0"/>
              <w:rPr>
                <w:rFonts w:eastAsia="Times New Roman" w:cstheme="minorHAnsi"/>
                <w:color w:val="000000"/>
                <w:sz w:val="18"/>
                <w:szCs w:val="18"/>
              </w:rPr>
            </w:pPr>
            <w:r w:rsidRPr="000405C5">
              <w:rPr>
                <w:rFonts w:eastAsia="Times New Roman" w:cstheme="minorHAnsi"/>
                <w:color w:val="000000"/>
                <w:sz w:val="18"/>
                <w:szCs w:val="18"/>
              </w:rPr>
              <w:t>три експерти</w:t>
            </w:r>
          </w:p>
          <w:p w14:paraId="61EBB199" w14:textId="2380B59C" w:rsidR="00136FC2" w:rsidRPr="003D2755" w:rsidRDefault="003D2755" w:rsidP="000405C5">
            <w:pPr>
              <w:pStyle w:val="ListParagraph"/>
              <w:numPr>
                <w:ilvl w:val="0"/>
                <w:numId w:val="13"/>
              </w:numPr>
              <w:spacing w:after="0"/>
              <w:rPr>
                <w:rFonts w:cstheme="minorHAnsi"/>
                <w:sz w:val="18"/>
                <w:szCs w:val="18"/>
                <w:lang w:val="uk-UA"/>
              </w:rPr>
            </w:pPr>
            <w:r w:rsidRPr="000405C5">
              <w:rPr>
                <w:rFonts w:eastAsia="Times New Roman" w:cstheme="minorHAnsi"/>
                <w:color w:val="000000"/>
                <w:sz w:val="18"/>
                <w:szCs w:val="18"/>
              </w:rPr>
              <w:t>диплом або сертифікат про успішне завершення навчання</w:t>
            </w:r>
          </w:p>
        </w:tc>
        <w:tc>
          <w:tcPr>
            <w:tcW w:w="1134" w:type="dxa"/>
          </w:tcPr>
          <w:p w14:paraId="2A092655" w14:textId="553E8025" w:rsidR="00136FC2" w:rsidRPr="003D2755" w:rsidRDefault="00136FC2" w:rsidP="00136FC2">
            <w:pPr>
              <w:jc w:val="center"/>
              <w:rPr>
                <w:rFonts w:cstheme="minorHAnsi"/>
                <w:sz w:val="18"/>
                <w:szCs w:val="18"/>
                <w:lang w:val="en-US"/>
              </w:rPr>
            </w:pPr>
            <w:r w:rsidRPr="003D2755">
              <w:rPr>
                <w:rFonts w:cstheme="minorHAnsi"/>
                <w:sz w:val="18"/>
                <w:szCs w:val="18"/>
                <w:lang w:val="en-US"/>
              </w:rPr>
              <w:t>3</w:t>
            </w:r>
            <w:r w:rsidRPr="003D2755">
              <w:rPr>
                <w:rFonts w:cstheme="minorHAnsi"/>
                <w:sz w:val="18"/>
                <w:szCs w:val="18"/>
                <w:lang w:val="uk-UA"/>
              </w:rPr>
              <w:t xml:space="preserve">0 </w:t>
            </w:r>
            <w:r w:rsidRPr="003D2755">
              <w:rPr>
                <w:rFonts w:cstheme="minorHAnsi"/>
                <w:sz w:val="18"/>
                <w:szCs w:val="18"/>
                <w:lang w:val="en-US"/>
              </w:rPr>
              <w:t xml:space="preserve">participants / </w:t>
            </w:r>
            <w:r w:rsidRPr="003D2755">
              <w:rPr>
                <w:rFonts w:cstheme="minorHAnsi"/>
                <w:sz w:val="18"/>
                <w:szCs w:val="18"/>
                <w:lang w:val="uk-UA"/>
              </w:rPr>
              <w:t>учасників</w:t>
            </w:r>
          </w:p>
        </w:tc>
        <w:tc>
          <w:tcPr>
            <w:tcW w:w="1134" w:type="dxa"/>
          </w:tcPr>
          <w:p w14:paraId="3C1045FF" w14:textId="77777777" w:rsidR="00136FC2" w:rsidRPr="003D2755" w:rsidRDefault="00136FC2" w:rsidP="00136FC2">
            <w:pPr>
              <w:jc w:val="center"/>
              <w:rPr>
                <w:rFonts w:cstheme="minorHAnsi"/>
                <w:sz w:val="18"/>
                <w:szCs w:val="18"/>
                <w:lang w:val="uk-UA"/>
              </w:rPr>
            </w:pPr>
          </w:p>
        </w:tc>
        <w:tc>
          <w:tcPr>
            <w:tcW w:w="1134" w:type="dxa"/>
          </w:tcPr>
          <w:p w14:paraId="575A2D8A" w14:textId="77777777" w:rsidR="00136FC2" w:rsidRPr="003D2755" w:rsidRDefault="00136FC2" w:rsidP="00136FC2">
            <w:pPr>
              <w:jc w:val="center"/>
              <w:rPr>
                <w:rFonts w:cstheme="minorHAnsi"/>
                <w:sz w:val="18"/>
                <w:szCs w:val="18"/>
                <w:lang w:val="uk-UA"/>
              </w:rPr>
            </w:pPr>
          </w:p>
        </w:tc>
        <w:tc>
          <w:tcPr>
            <w:tcW w:w="1134" w:type="dxa"/>
          </w:tcPr>
          <w:p w14:paraId="0F1CF84F" w14:textId="21EA4A20" w:rsidR="00136FC2" w:rsidRPr="003D2755" w:rsidRDefault="2340D52C" w:rsidP="09C4C6A2">
            <w:pPr>
              <w:jc w:val="center"/>
              <w:rPr>
                <w:rFonts w:cstheme="minorHAnsi"/>
                <w:sz w:val="18"/>
                <w:szCs w:val="18"/>
                <w:lang w:val="uk-UA"/>
              </w:rPr>
            </w:pPr>
            <w:r w:rsidRPr="003D2755">
              <w:rPr>
                <w:rFonts w:cstheme="minorHAnsi"/>
                <w:sz w:val="18"/>
                <w:szCs w:val="18"/>
                <w:lang w:val="uk-UA"/>
              </w:rPr>
              <w:t xml:space="preserve">Березень – </w:t>
            </w:r>
            <w:r w:rsidR="3F1F186F" w:rsidRPr="003D2755">
              <w:rPr>
                <w:rFonts w:cstheme="minorHAnsi"/>
                <w:sz w:val="18"/>
                <w:szCs w:val="18"/>
                <w:lang w:val="uk-UA"/>
              </w:rPr>
              <w:t>Травень</w:t>
            </w:r>
            <w:r w:rsidRPr="003D2755">
              <w:rPr>
                <w:rFonts w:cstheme="minorHAnsi"/>
                <w:sz w:val="18"/>
                <w:szCs w:val="18"/>
                <w:lang w:val="uk-UA"/>
              </w:rPr>
              <w:t xml:space="preserve"> 2026 / </w:t>
            </w:r>
            <w:r w:rsidRPr="003D2755">
              <w:rPr>
                <w:rFonts w:cstheme="minorHAnsi"/>
                <w:sz w:val="18"/>
                <w:szCs w:val="18"/>
                <w:lang w:val="en-US"/>
              </w:rPr>
              <w:t xml:space="preserve">March – </w:t>
            </w:r>
            <w:r w:rsidR="6CC8A5C3" w:rsidRPr="003D2755">
              <w:rPr>
                <w:rFonts w:cstheme="minorHAnsi"/>
                <w:sz w:val="18"/>
                <w:szCs w:val="18"/>
                <w:lang w:val="en-US"/>
              </w:rPr>
              <w:t>May</w:t>
            </w:r>
            <w:r w:rsidRPr="003D2755">
              <w:rPr>
                <w:rFonts w:cstheme="minorHAnsi"/>
                <w:sz w:val="18"/>
                <w:szCs w:val="18"/>
                <w:lang w:val="en-US"/>
              </w:rPr>
              <w:t xml:space="preserve"> 202</w:t>
            </w:r>
            <w:r w:rsidRPr="003D2755">
              <w:rPr>
                <w:rFonts w:cstheme="minorHAnsi"/>
                <w:sz w:val="18"/>
                <w:szCs w:val="18"/>
                <w:lang w:val="uk-UA"/>
              </w:rPr>
              <w:t>6</w:t>
            </w:r>
          </w:p>
        </w:tc>
      </w:tr>
      <w:tr w:rsidR="00F646E2" w:rsidRPr="000405C5" w14:paraId="06B75032" w14:textId="656EABB0" w:rsidTr="09C4C6A2">
        <w:trPr>
          <w:trHeight w:val="532"/>
        </w:trPr>
        <w:tc>
          <w:tcPr>
            <w:tcW w:w="10627" w:type="dxa"/>
            <w:gridSpan w:val="6"/>
          </w:tcPr>
          <w:p w14:paraId="4EDC2961" w14:textId="77777777" w:rsidR="00832256" w:rsidRPr="000405C5" w:rsidRDefault="00832256" w:rsidP="00F75035">
            <w:pPr>
              <w:jc w:val="center"/>
              <w:rPr>
                <w:rFonts w:cstheme="minorHAnsi"/>
                <w:b/>
                <w:bCs/>
                <w:sz w:val="20"/>
                <w:szCs w:val="20"/>
              </w:rPr>
            </w:pPr>
            <w:r w:rsidRPr="000405C5">
              <w:rPr>
                <w:rFonts w:cstheme="minorHAnsi"/>
                <w:b/>
                <w:bCs/>
                <w:sz w:val="20"/>
                <w:szCs w:val="20"/>
                <w:lang w:val="en-US"/>
              </w:rPr>
              <w:t>*</w:t>
            </w:r>
            <w:r w:rsidR="00F646E2" w:rsidRPr="000405C5">
              <w:rPr>
                <w:rFonts w:cstheme="minorHAnsi"/>
                <w:b/>
                <w:bCs/>
                <w:sz w:val="20"/>
                <w:szCs w:val="20"/>
                <w:lang w:val="uk-UA"/>
              </w:rPr>
              <w:t xml:space="preserve">Учасник повинен надати </w:t>
            </w:r>
            <w:r w:rsidR="00CD0D13" w:rsidRPr="000405C5">
              <w:rPr>
                <w:rFonts w:cstheme="minorHAnsi"/>
                <w:b/>
                <w:bCs/>
                <w:sz w:val="20"/>
                <w:szCs w:val="20"/>
                <w:lang w:val="uk-UA"/>
              </w:rPr>
              <w:t xml:space="preserve">орієнтовну </w:t>
            </w:r>
            <w:r w:rsidR="00F646E2" w:rsidRPr="000405C5">
              <w:rPr>
                <w:rFonts w:cstheme="minorHAnsi"/>
                <w:b/>
                <w:bCs/>
                <w:sz w:val="20"/>
                <w:szCs w:val="20"/>
                <w:lang w:val="uk-UA"/>
              </w:rPr>
              <w:t xml:space="preserve">детальну </w:t>
            </w:r>
            <w:r w:rsidR="00F646E2" w:rsidRPr="000405C5">
              <w:rPr>
                <w:rFonts w:cstheme="minorHAnsi"/>
                <w:b/>
                <w:bCs/>
                <w:sz w:val="20"/>
                <w:szCs w:val="20"/>
              </w:rPr>
              <w:t>Програм</w:t>
            </w:r>
            <w:r w:rsidR="00F646E2" w:rsidRPr="000405C5">
              <w:rPr>
                <w:rFonts w:cstheme="minorHAnsi"/>
                <w:b/>
                <w:bCs/>
                <w:sz w:val="20"/>
                <w:szCs w:val="20"/>
                <w:lang w:val="uk-UA"/>
              </w:rPr>
              <w:t>у</w:t>
            </w:r>
            <w:r w:rsidR="00F646E2" w:rsidRPr="000405C5">
              <w:rPr>
                <w:rFonts w:cstheme="minorHAnsi"/>
                <w:b/>
                <w:bCs/>
                <w:sz w:val="20"/>
                <w:szCs w:val="20"/>
              </w:rPr>
              <w:t xml:space="preserve"> навчання / </w:t>
            </w:r>
          </w:p>
          <w:p w14:paraId="61BD7998" w14:textId="6F2C53C3" w:rsidR="00F646E2" w:rsidRPr="000405C5" w:rsidRDefault="00832256" w:rsidP="00F75035">
            <w:pPr>
              <w:jc w:val="center"/>
              <w:rPr>
                <w:rFonts w:cstheme="minorHAnsi"/>
                <w:sz w:val="20"/>
                <w:szCs w:val="20"/>
                <w:lang w:val="uk-UA"/>
              </w:rPr>
            </w:pPr>
            <w:r w:rsidRPr="000405C5">
              <w:rPr>
                <w:rFonts w:cstheme="minorHAnsi"/>
                <w:b/>
                <w:bCs/>
                <w:sz w:val="20"/>
                <w:szCs w:val="20"/>
              </w:rPr>
              <w:t>*</w:t>
            </w:r>
            <w:r w:rsidR="00F646E2" w:rsidRPr="000405C5">
              <w:rPr>
                <w:rFonts w:cstheme="minorHAnsi"/>
                <w:b/>
                <w:bCs/>
                <w:sz w:val="20"/>
                <w:szCs w:val="20"/>
              </w:rPr>
              <w:t xml:space="preserve">The participant must provide a </w:t>
            </w:r>
            <w:r w:rsidR="00CD0D13" w:rsidRPr="000405C5">
              <w:rPr>
                <w:rFonts w:cstheme="minorHAnsi"/>
                <w:b/>
                <w:bCs/>
                <w:sz w:val="20"/>
                <w:szCs w:val="20"/>
                <w:lang w:val="en-US"/>
              </w:rPr>
              <w:t xml:space="preserve">preliminary </w:t>
            </w:r>
            <w:r w:rsidR="00F646E2" w:rsidRPr="000405C5">
              <w:rPr>
                <w:rFonts w:cstheme="minorHAnsi"/>
                <w:b/>
                <w:bCs/>
                <w:sz w:val="20"/>
                <w:szCs w:val="20"/>
              </w:rPr>
              <w:t xml:space="preserve">detailed Training Program </w:t>
            </w:r>
          </w:p>
        </w:tc>
      </w:tr>
      <w:bookmarkEnd w:id="0"/>
    </w:tbl>
    <w:p w14:paraId="2DFD94A6" w14:textId="77777777" w:rsidR="005429B2" w:rsidRPr="00E16BBA" w:rsidRDefault="005429B2" w:rsidP="005429B2">
      <w:pPr>
        <w:rPr>
          <w:rFonts w:cstheme="minorHAnsi"/>
          <w:sz w:val="20"/>
          <w:szCs w:val="20"/>
          <w:lang w:val="en-US"/>
        </w:rPr>
      </w:pPr>
    </w:p>
    <w:p w14:paraId="77698E74" w14:textId="77777777" w:rsidR="00F646E2" w:rsidRDefault="00F646E2" w:rsidP="00F75035">
      <w:pPr>
        <w:jc w:val="center"/>
        <w:rPr>
          <w:rFonts w:cstheme="minorHAnsi"/>
          <w:b/>
          <w:bCs/>
          <w:sz w:val="20"/>
          <w:szCs w:val="20"/>
          <w:lang w:val="en-US"/>
        </w:rPr>
      </w:pPr>
    </w:p>
    <w:tbl>
      <w:tblPr>
        <w:tblStyle w:val="TableGrid"/>
        <w:tblW w:w="9634" w:type="dxa"/>
        <w:tblLook w:val="04A0" w:firstRow="1" w:lastRow="0" w:firstColumn="1" w:lastColumn="0" w:noHBand="0" w:noVBand="1"/>
      </w:tblPr>
      <w:tblGrid>
        <w:gridCol w:w="4957"/>
        <w:gridCol w:w="4677"/>
      </w:tblGrid>
      <w:tr w:rsidR="009060CF" w14:paraId="5B453581" w14:textId="77777777" w:rsidTr="00FA7BE4">
        <w:tc>
          <w:tcPr>
            <w:tcW w:w="4957" w:type="dxa"/>
          </w:tcPr>
          <w:p w14:paraId="4A3A3D61" w14:textId="77777777" w:rsidR="009060CF" w:rsidRDefault="009060CF" w:rsidP="009060CF">
            <w:pPr>
              <w:jc w:val="both"/>
              <w:rPr>
                <w:rFonts w:cstheme="minorHAnsi"/>
                <w:b/>
                <w:bCs/>
                <w:sz w:val="20"/>
                <w:szCs w:val="20"/>
                <w:lang w:val="uk-UA"/>
              </w:rPr>
            </w:pPr>
            <w:r>
              <w:rPr>
                <w:rFonts w:cstheme="minorHAnsi"/>
                <w:b/>
                <w:bCs/>
                <w:sz w:val="20"/>
                <w:szCs w:val="20"/>
                <w:lang w:val="uk-UA"/>
              </w:rPr>
              <w:t xml:space="preserve">Мета та задачі семінару: </w:t>
            </w:r>
          </w:p>
          <w:p w14:paraId="37518449" w14:textId="77777777" w:rsidR="009060CF" w:rsidRPr="00CD0D13" w:rsidRDefault="009060CF" w:rsidP="009060CF">
            <w:pPr>
              <w:jc w:val="both"/>
              <w:rPr>
                <w:sz w:val="20"/>
                <w:szCs w:val="20"/>
                <w:lang w:val="uk-UA"/>
              </w:rPr>
            </w:pPr>
            <w:r w:rsidRPr="425A017F">
              <w:rPr>
                <w:sz w:val="20"/>
                <w:szCs w:val="20"/>
                <w:lang w:val="uk-UA"/>
              </w:rPr>
              <w:lastRenderedPageBreak/>
              <w:t xml:space="preserve">1. Підвищення компетентності персоналу бактеріологічних лабораторій щодо впровадження та практичного застосування вимог ISO 15189:2022 у частині управління ризиками, контролю якості та забезпечення достовірності результатів лабораторних досліджень. </w:t>
            </w:r>
          </w:p>
          <w:p w14:paraId="4D4CBA63" w14:textId="77777777" w:rsidR="009060CF" w:rsidRPr="00CD0D13" w:rsidRDefault="009060CF" w:rsidP="009060CF">
            <w:pPr>
              <w:jc w:val="both"/>
              <w:rPr>
                <w:sz w:val="20"/>
                <w:szCs w:val="20"/>
                <w:lang w:val="uk-UA"/>
              </w:rPr>
            </w:pPr>
            <w:r w:rsidRPr="425A017F">
              <w:rPr>
                <w:sz w:val="20"/>
                <w:szCs w:val="20"/>
                <w:lang w:val="uk-UA"/>
              </w:rPr>
              <w:t xml:space="preserve">2. Сформувати цілісне розуміння підходів ISO 15189:2022 та супутніх міжнародних стандартів щодо управління ризиками, оцінювання процесів та внутрішнього контролю якості. </w:t>
            </w:r>
          </w:p>
          <w:p w14:paraId="139747F3" w14:textId="77777777" w:rsidR="009060CF" w:rsidRPr="00CD0D13" w:rsidRDefault="009060CF" w:rsidP="009060CF">
            <w:pPr>
              <w:jc w:val="both"/>
              <w:rPr>
                <w:rFonts w:ascii="Calibri" w:eastAsia="Calibri" w:hAnsi="Calibri" w:cs="Calibri"/>
                <w:sz w:val="20"/>
                <w:szCs w:val="20"/>
                <w:lang w:val="uk-UA"/>
              </w:rPr>
            </w:pPr>
            <w:r w:rsidRPr="425A017F">
              <w:rPr>
                <w:sz w:val="20"/>
                <w:szCs w:val="20"/>
                <w:lang w:val="uk-UA"/>
              </w:rPr>
              <w:t xml:space="preserve">3. </w:t>
            </w:r>
            <w:r w:rsidRPr="425A017F">
              <w:rPr>
                <w:rFonts w:ascii="Calibri" w:eastAsia="Calibri" w:hAnsi="Calibri" w:cs="Calibri"/>
                <w:sz w:val="20"/>
                <w:szCs w:val="20"/>
                <w:lang w:val="uk-UA"/>
              </w:rPr>
              <w:t>Посилити спроможність бактеріологічних лабораторій підтримувати вимоги ISO 15189:2022 шляхом удосконалення практик управління ризиками, підвищення надійності результатів та зміцнення систем забезпечення якості.</w:t>
            </w:r>
          </w:p>
          <w:p w14:paraId="2DB002E8" w14:textId="77777777" w:rsidR="009060CF" w:rsidRPr="00CD0D13" w:rsidRDefault="009060CF" w:rsidP="009060CF">
            <w:pPr>
              <w:jc w:val="both"/>
              <w:rPr>
                <w:rFonts w:ascii="Calibri" w:eastAsia="Calibri" w:hAnsi="Calibri" w:cs="Calibri"/>
                <w:sz w:val="20"/>
                <w:szCs w:val="20"/>
                <w:lang w:val="uk-UA"/>
              </w:rPr>
            </w:pPr>
            <w:r w:rsidRPr="425A017F">
              <w:rPr>
                <w:rFonts w:ascii="Calibri" w:eastAsia="Calibri" w:hAnsi="Calibri" w:cs="Calibri"/>
                <w:sz w:val="20"/>
                <w:szCs w:val="20"/>
                <w:lang w:val="uk-UA"/>
              </w:rPr>
              <w:t>4. Покращити розуміння учасниками принципів мислення на основі ризиків та ключових стандартів управління ризиками, застосовних у бактеріології.</w:t>
            </w:r>
          </w:p>
          <w:p w14:paraId="546C38A6" w14:textId="77777777" w:rsidR="009060CF" w:rsidRPr="00CD0D13" w:rsidRDefault="009060CF" w:rsidP="009060CF">
            <w:pPr>
              <w:jc w:val="both"/>
              <w:rPr>
                <w:rFonts w:ascii="Calibri" w:eastAsia="Calibri" w:hAnsi="Calibri" w:cs="Calibri"/>
                <w:sz w:val="20"/>
                <w:szCs w:val="20"/>
                <w:lang w:val="uk-UA"/>
              </w:rPr>
            </w:pPr>
            <w:r w:rsidRPr="425A017F">
              <w:rPr>
                <w:rFonts w:ascii="Calibri" w:eastAsia="Calibri" w:hAnsi="Calibri" w:cs="Calibri"/>
                <w:sz w:val="20"/>
                <w:szCs w:val="20"/>
                <w:lang w:val="uk-UA"/>
              </w:rPr>
              <w:t>5. Посилити навички планування та впровадження контролю якості (QC), включно зі статистичними інструментами QC та ризик-орієнтованими підходами.</w:t>
            </w:r>
          </w:p>
          <w:p w14:paraId="56C62540" w14:textId="77777777" w:rsidR="009060CF" w:rsidRPr="00CD0D13" w:rsidRDefault="009060CF" w:rsidP="009060CF">
            <w:pPr>
              <w:jc w:val="both"/>
              <w:rPr>
                <w:rFonts w:ascii="Calibri" w:eastAsia="Calibri" w:hAnsi="Calibri" w:cs="Calibri"/>
                <w:sz w:val="20"/>
                <w:szCs w:val="20"/>
                <w:lang w:val="uk-UA"/>
              </w:rPr>
            </w:pPr>
            <w:r w:rsidRPr="425A017F">
              <w:rPr>
                <w:rFonts w:ascii="Calibri" w:eastAsia="Calibri" w:hAnsi="Calibri" w:cs="Calibri"/>
                <w:sz w:val="20"/>
                <w:szCs w:val="20"/>
                <w:lang w:val="uk-UA"/>
              </w:rPr>
              <w:t>6. Підвищити компетентності щодо оцінювання, верифікації та моніторингу лабораторних методів відповідно до стандартів ISO.</w:t>
            </w:r>
          </w:p>
          <w:p w14:paraId="0A8FE624" w14:textId="77777777" w:rsidR="009060CF" w:rsidRPr="00CD0D13" w:rsidRDefault="009060CF" w:rsidP="009060CF">
            <w:pPr>
              <w:jc w:val="both"/>
              <w:rPr>
                <w:rFonts w:ascii="Calibri" w:eastAsia="Calibri" w:hAnsi="Calibri" w:cs="Calibri"/>
                <w:sz w:val="20"/>
                <w:szCs w:val="20"/>
                <w:lang w:val="uk-UA"/>
              </w:rPr>
            </w:pPr>
            <w:r w:rsidRPr="425A017F">
              <w:rPr>
                <w:rFonts w:ascii="Calibri" w:eastAsia="Calibri" w:hAnsi="Calibri" w:cs="Calibri"/>
                <w:sz w:val="20"/>
                <w:szCs w:val="20"/>
                <w:lang w:val="uk-UA"/>
              </w:rPr>
              <w:t>7. Розвинути спроможність учасників проводити внутрішні аудити, аналізувати невідповідності та застосовувати інструменти безперервного вдосконалення.</w:t>
            </w:r>
          </w:p>
          <w:p w14:paraId="4D7C970B" w14:textId="77777777" w:rsidR="009060CF" w:rsidRPr="00CD0D13" w:rsidRDefault="009060CF" w:rsidP="009060CF">
            <w:pPr>
              <w:jc w:val="both"/>
              <w:rPr>
                <w:rFonts w:ascii="Calibri" w:eastAsia="Calibri" w:hAnsi="Calibri" w:cs="Calibri"/>
                <w:sz w:val="20"/>
                <w:szCs w:val="20"/>
                <w:lang w:val="uk-UA"/>
              </w:rPr>
            </w:pPr>
            <w:r w:rsidRPr="425A017F">
              <w:rPr>
                <w:rFonts w:ascii="Calibri" w:eastAsia="Calibri" w:hAnsi="Calibri" w:cs="Calibri"/>
                <w:sz w:val="20"/>
                <w:szCs w:val="20"/>
                <w:lang w:val="uk-UA"/>
              </w:rPr>
              <w:t>8. Посилити знання та практичні навички, пов’язані з документацією, управлінням ресурсами та оцінюванням компетентності персоналу.</w:t>
            </w:r>
          </w:p>
          <w:p w14:paraId="3FBB6207" w14:textId="77777777" w:rsidR="009060CF" w:rsidRPr="00CD0D13" w:rsidRDefault="009060CF" w:rsidP="009060CF">
            <w:pPr>
              <w:jc w:val="both"/>
              <w:rPr>
                <w:rFonts w:ascii="Calibri" w:eastAsia="Calibri" w:hAnsi="Calibri" w:cs="Calibri"/>
                <w:sz w:val="20"/>
                <w:szCs w:val="20"/>
                <w:lang w:val="uk-UA"/>
              </w:rPr>
            </w:pPr>
            <w:r w:rsidRPr="425A017F">
              <w:rPr>
                <w:rFonts w:ascii="Calibri" w:eastAsia="Calibri" w:hAnsi="Calibri" w:cs="Calibri"/>
                <w:sz w:val="20"/>
                <w:szCs w:val="20"/>
                <w:lang w:val="uk-UA"/>
              </w:rPr>
              <w:t>9. Сприяти навчанню «рівний-рівному» та обміну передовими практиками між лабораторіями-учасниками.</w:t>
            </w:r>
          </w:p>
          <w:p w14:paraId="79F7DBCA" w14:textId="77777777" w:rsidR="009060CF" w:rsidRDefault="009060CF" w:rsidP="00775322">
            <w:pPr>
              <w:jc w:val="both"/>
              <w:rPr>
                <w:sz w:val="20"/>
                <w:szCs w:val="20"/>
                <w:lang w:val="en-US"/>
              </w:rPr>
            </w:pPr>
            <w:r w:rsidRPr="425A017F">
              <w:rPr>
                <w:sz w:val="20"/>
                <w:szCs w:val="20"/>
                <w:lang w:val="uk-UA"/>
              </w:rPr>
              <w:t xml:space="preserve">10. Забезпечити кожному учаснику можливість отримати сертифікат та бали БПР у разі успішного проходження тестування. </w:t>
            </w:r>
          </w:p>
          <w:p w14:paraId="74720534" w14:textId="5BE654D5" w:rsidR="002A6932" w:rsidRPr="002A6932" w:rsidRDefault="002A6932" w:rsidP="00775322">
            <w:pPr>
              <w:jc w:val="both"/>
              <w:rPr>
                <w:sz w:val="20"/>
                <w:szCs w:val="20"/>
                <w:lang w:val="en-US"/>
              </w:rPr>
            </w:pPr>
          </w:p>
        </w:tc>
        <w:tc>
          <w:tcPr>
            <w:tcW w:w="4677" w:type="dxa"/>
          </w:tcPr>
          <w:p w14:paraId="16694A99" w14:textId="2F416EA0" w:rsidR="00D67DEA" w:rsidRPr="00D67DEA" w:rsidRDefault="00D67DEA" w:rsidP="00D67DEA">
            <w:pPr>
              <w:jc w:val="both"/>
              <w:rPr>
                <w:rFonts w:cstheme="minorHAnsi"/>
                <w:b/>
                <w:bCs/>
                <w:sz w:val="20"/>
                <w:szCs w:val="20"/>
                <w:lang w:val="uk-UA"/>
              </w:rPr>
            </w:pPr>
            <w:r w:rsidRPr="00D67DEA">
              <w:rPr>
                <w:rFonts w:cstheme="minorHAnsi"/>
                <w:b/>
                <w:bCs/>
                <w:sz w:val="20"/>
                <w:szCs w:val="20"/>
                <w:lang w:val="uk-UA"/>
              </w:rPr>
              <w:lastRenderedPageBreak/>
              <w:t xml:space="preserve">The purpose and objectives of the </w:t>
            </w:r>
            <w:r w:rsidR="003F3A94">
              <w:rPr>
                <w:rFonts w:cstheme="minorHAnsi"/>
                <w:b/>
                <w:bCs/>
                <w:sz w:val="20"/>
                <w:szCs w:val="20"/>
                <w:lang w:val="en-US"/>
              </w:rPr>
              <w:t>seminar</w:t>
            </w:r>
            <w:r w:rsidRPr="00D67DEA">
              <w:rPr>
                <w:rFonts w:cstheme="minorHAnsi"/>
                <w:b/>
                <w:bCs/>
                <w:sz w:val="20"/>
                <w:szCs w:val="20"/>
                <w:lang w:val="uk-UA"/>
              </w:rPr>
              <w:t xml:space="preserve">: </w:t>
            </w:r>
          </w:p>
          <w:p w14:paraId="6B15F138" w14:textId="77777777" w:rsidR="009060CF" w:rsidRDefault="00D67DEA" w:rsidP="00D67DEA">
            <w:pPr>
              <w:jc w:val="both"/>
              <w:rPr>
                <w:rFonts w:cstheme="minorHAnsi"/>
                <w:sz w:val="20"/>
                <w:szCs w:val="20"/>
                <w:lang w:val="en-US"/>
              </w:rPr>
            </w:pPr>
            <w:r w:rsidRPr="00D67DEA">
              <w:rPr>
                <w:rFonts w:cstheme="minorHAnsi"/>
                <w:sz w:val="20"/>
                <w:szCs w:val="20"/>
                <w:lang w:val="uk-UA"/>
              </w:rPr>
              <w:lastRenderedPageBreak/>
              <w:t>1. Improving the competence of bacteriological laboratory personnel in the implementation and practical application of ISO 15189:2022 requirements in terms of risk management, quality control and ensuring the reliability of laboratory research results.</w:t>
            </w:r>
          </w:p>
          <w:p w14:paraId="0988B994" w14:textId="77777777" w:rsidR="006C6410" w:rsidRDefault="006C6410" w:rsidP="00D67DEA">
            <w:pPr>
              <w:jc w:val="both"/>
              <w:rPr>
                <w:rFonts w:cstheme="minorHAnsi"/>
                <w:sz w:val="20"/>
                <w:szCs w:val="20"/>
                <w:lang w:val="en-US"/>
              </w:rPr>
            </w:pPr>
          </w:p>
          <w:p w14:paraId="094FCFB4" w14:textId="77777777" w:rsidR="006C6410" w:rsidRPr="006C6410" w:rsidRDefault="006C6410" w:rsidP="006C6410">
            <w:pPr>
              <w:jc w:val="both"/>
              <w:rPr>
                <w:rFonts w:cstheme="minorHAnsi"/>
                <w:sz w:val="20"/>
                <w:szCs w:val="20"/>
                <w:lang w:val="en-US"/>
              </w:rPr>
            </w:pPr>
            <w:r w:rsidRPr="006C6410">
              <w:rPr>
                <w:rFonts w:cstheme="minorHAnsi"/>
                <w:sz w:val="20"/>
                <w:szCs w:val="20"/>
                <w:lang w:val="en-US"/>
              </w:rPr>
              <w:t>2. Develop a holistic understanding of the approaches of ISO 15189:2022 and related international standards on risk management, process evaluation and internal quality control.</w:t>
            </w:r>
          </w:p>
          <w:p w14:paraId="3C26E787" w14:textId="77777777" w:rsidR="006C6410" w:rsidRDefault="006C6410" w:rsidP="006C6410">
            <w:pPr>
              <w:jc w:val="both"/>
              <w:rPr>
                <w:rFonts w:cstheme="minorHAnsi"/>
                <w:sz w:val="20"/>
                <w:szCs w:val="20"/>
                <w:lang w:val="en-US"/>
              </w:rPr>
            </w:pPr>
            <w:r w:rsidRPr="006C6410">
              <w:rPr>
                <w:rFonts w:cstheme="minorHAnsi"/>
                <w:sz w:val="20"/>
                <w:szCs w:val="20"/>
                <w:lang w:val="en-US"/>
              </w:rPr>
              <w:t>3. Strengthen the capacity of bacteriological laboratories to support the requirements of ISO 15189:2022 by improving risk management practices, increasing the reliability of results and strengthening quality assurance systems.</w:t>
            </w:r>
          </w:p>
          <w:p w14:paraId="1B8DE0CC" w14:textId="77777777" w:rsidR="00F47BAB" w:rsidRPr="00F47BAB" w:rsidRDefault="00F47BAB" w:rsidP="00F47BAB">
            <w:pPr>
              <w:jc w:val="both"/>
              <w:rPr>
                <w:rFonts w:cstheme="minorHAnsi"/>
                <w:sz w:val="20"/>
                <w:szCs w:val="20"/>
                <w:lang w:val="en-US"/>
              </w:rPr>
            </w:pPr>
            <w:r w:rsidRPr="00F47BAB">
              <w:rPr>
                <w:rFonts w:cstheme="minorHAnsi"/>
                <w:sz w:val="20"/>
                <w:szCs w:val="20"/>
                <w:lang w:val="en-US"/>
              </w:rPr>
              <w:t>4. Improve participants’ understanding of risk-based thinking principles and key risk management standards applicable to bacteriology.</w:t>
            </w:r>
          </w:p>
          <w:p w14:paraId="2CF5AD61" w14:textId="77777777" w:rsidR="00F47BAB" w:rsidRPr="00F47BAB" w:rsidRDefault="00F47BAB" w:rsidP="00F47BAB">
            <w:pPr>
              <w:jc w:val="both"/>
              <w:rPr>
                <w:rFonts w:cstheme="minorHAnsi"/>
                <w:sz w:val="20"/>
                <w:szCs w:val="20"/>
                <w:lang w:val="en-US"/>
              </w:rPr>
            </w:pPr>
            <w:r w:rsidRPr="00F47BAB">
              <w:rPr>
                <w:rFonts w:cstheme="minorHAnsi"/>
                <w:sz w:val="20"/>
                <w:szCs w:val="20"/>
                <w:lang w:val="en-US"/>
              </w:rPr>
              <w:t>5. Strengthen skills in planning and implementing quality control (QC), including statistical QC tools and risk-based approaches.</w:t>
            </w:r>
          </w:p>
          <w:p w14:paraId="15D4B6C2" w14:textId="77777777" w:rsidR="00F47BAB" w:rsidRDefault="00F47BAB" w:rsidP="00F47BAB">
            <w:pPr>
              <w:jc w:val="both"/>
              <w:rPr>
                <w:rFonts w:cstheme="minorHAnsi"/>
                <w:sz w:val="20"/>
                <w:szCs w:val="20"/>
                <w:lang w:val="en-US"/>
              </w:rPr>
            </w:pPr>
            <w:r w:rsidRPr="00F47BAB">
              <w:rPr>
                <w:rFonts w:cstheme="minorHAnsi"/>
                <w:sz w:val="20"/>
                <w:szCs w:val="20"/>
                <w:lang w:val="en-US"/>
              </w:rPr>
              <w:t>6. Enhance competencies in evaluating, verifying and monitoring laboratory methods in accordance with ISO standards.</w:t>
            </w:r>
          </w:p>
          <w:p w14:paraId="5F9FF643" w14:textId="77777777" w:rsidR="00F47BAB" w:rsidRDefault="00F47BAB" w:rsidP="00F47BAB">
            <w:pPr>
              <w:jc w:val="both"/>
              <w:rPr>
                <w:rFonts w:cstheme="minorHAnsi"/>
                <w:sz w:val="20"/>
                <w:szCs w:val="20"/>
                <w:lang w:val="en-US"/>
              </w:rPr>
            </w:pPr>
            <w:r w:rsidRPr="00F47BAB">
              <w:rPr>
                <w:rFonts w:cstheme="minorHAnsi"/>
                <w:sz w:val="20"/>
                <w:szCs w:val="20"/>
                <w:lang w:val="en-US"/>
              </w:rPr>
              <w:t>7. Develop the capacity of participants to conduct internal audits, analyze non-conformities and apply continuous improvement tools.</w:t>
            </w:r>
          </w:p>
          <w:p w14:paraId="64D67CE0" w14:textId="77777777" w:rsidR="00F47BAB" w:rsidRPr="00F47BAB" w:rsidRDefault="00F47BAB" w:rsidP="00F47BAB">
            <w:pPr>
              <w:jc w:val="both"/>
              <w:rPr>
                <w:rFonts w:cstheme="minorHAnsi"/>
                <w:sz w:val="20"/>
                <w:szCs w:val="20"/>
                <w:lang w:val="en-US"/>
              </w:rPr>
            </w:pPr>
          </w:p>
          <w:p w14:paraId="16B74BFF" w14:textId="77777777" w:rsidR="00F47BAB" w:rsidRPr="00F47BAB" w:rsidRDefault="00F47BAB" w:rsidP="00F47BAB">
            <w:pPr>
              <w:jc w:val="both"/>
              <w:rPr>
                <w:rFonts w:cstheme="minorHAnsi"/>
                <w:sz w:val="20"/>
                <w:szCs w:val="20"/>
                <w:lang w:val="en-US"/>
              </w:rPr>
            </w:pPr>
            <w:r w:rsidRPr="00F47BAB">
              <w:rPr>
                <w:rFonts w:cstheme="minorHAnsi"/>
                <w:sz w:val="20"/>
                <w:szCs w:val="20"/>
                <w:lang w:val="en-US"/>
              </w:rPr>
              <w:t>8. Strengthen knowledge and practical skills related to documentation, resource management and personnel competency assessment.</w:t>
            </w:r>
          </w:p>
          <w:p w14:paraId="10EB3F72" w14:textId="77777777" w:rsidR="00F47BAB" w:rsidRDefault="00F47BAB" w:rsidP="00F47BAB">
            <w:pPr>
              <w:jc w:val="both"/>
              <w:rPr>
                <w:rFonts w:cstheme="minorHAnsi"/>
                <w:sz w:val="20"/>
                <w:szCs w:val="20"/>
                <w:lang w:val="en-US"/>
              </w:rPr>
            </w:pPr>
            <w:r w:rsidRPr="00F47BAB">
              <w:rPr>
                <w:rFonts w:cstheme="minorHAnsi"/>
                <w:sz w:val="20"/>
                <w:szCs w:val="20"/>
                <w:lang w:val="en-US"/>
              </w:rPr>
              <w:t>9. Promote peer-to-peer learning and exchange of best practices between participating laboratories.</w:t>
            </w:r>
          </w:p>
          <w:p w14:paraId="6C1D043D" w14:textId="77777777" w:rsidR="00F47BAB" w:rsidRPr="00F47BAB" w:rsidRDefault="00F47BAB" w:rsidP="00F47BAB">
            <w:pPr>
              <w:jc w:val="both"/>
              <w:rPr>
                <w:rFonts w:cstheme="minorHAnsi"/>
                <w:sz w:val="20"/>
                <w:szCs w:val="20"/>
                <w:lang w:val="en-US"/>
              </w:rPr>
            </w:pPr>
          </w:p>
          <w:p w14:paraId="553E8A1C" w14:textId="2BEDA8AB" w:rsidR="00F47BAB" w:rsidRPr="006C6410" w:rsidRDefault="00F47BAB" w:rsidP="00F47BAB">
            <w:pPr>
              <w:jc w:val="both"/>
              <w:rPr>
                <w:rFonts w:cstheme="minorHAnsi"/>
                <w:sz w:val="20"/>
                <w:szCs w:val="20"/>
                <w:lang w:val="en-US"/>
              </w:rPr>
            </w:pPr>
            <w:r w:rsidRPr="00F47BAB">
              <w:rPr>
                <w:rFonts w:cstheme="minorHAnsi"/>
                <w:sz w:val="20"/>
                <w:szCs w:val="20"/>
                <w:lang w:val="en-US"/>
              </w:rPr>
              <w:t>10. Provide each participant with the opportunity to receive a certificate and BPR points upon successful completion of the test.</w:t>
            </w:r>
          </w:p>
        </w:tc>
      </w:tr>
      <w:tr w:rsidR="0076184E" w14:paraId="4185D091" w14:textId="77777777" w:rsidTr="00FA7BE4">
        <w:tc>
          <w:tcPr>
            <w:tcW w:w="4957" w:type="dxa"/>
          </w:tcPr>
          <w:p w14:paraId="0EF921E0" w14:textId="77777777" w:rsidR="0076184E" w:rsidRDefault="0076184E" w:rsidP="00E44410">
            <w:pPr>
              <w:jc w:val="both"/>
              <w:rPr>
                <w:b/>
                <w:bCs/>
                <w:sz w:val="20"/>
                <w:szCs w:val="20"/>
                <w:lang w:val="uk-UA"/>
              </w:rPr>
            </w:pPr>
            <w:r w:rsidRPr="09C4C6A2">
              <w:rPr>
                <w:b/>
                <w:bCs/>
                <w:sz w:val="20"/>
                <w:szCs w:val="20"/>
                <w:lang w:val="uk-UA"/>
              </w:rPr>
              <w:lastRenderedPageBreak/>
              <w:t>Основні теми, які мають покриватися програмою тренінгу:</w:t>
            </w:r>
          </w:p>
          <w:p w14:paraId="0695551C" w14:textId="77777777" w:rsidR="0076184E" w:rsidRDefault="0076184E" w:rsidP="00E44410">
            <w:pPr>
              <w:jc w:val="both"/>
              <w:rPr>
                <w:rFonts w:ascii="Calibri" w:eastAsia="Calibri" w:hAnsi="Calibri" w:cs="Calibri"/>
                <w:sz w:val="20"/>
                <w:szCs w:val="20"/>
                <w:lang w:val="uk-UA"/>
              </w:rPr>
            </w:pPr>
            <w:r w:rsidRPr="09C4C6A2">
              <w:rPr>
                <w:rFonts w:ascii="Calibri" w:eastAsia="Calibri" w:hAnsi="Calibri" w:cs="Calibri"/>
                <w:b/>
                <w:bCs/>
                <w:sz w:val="20"/>
                <w:szCs w:val="20"/>
                <w:lang w:val="uk-UA"/>
              </w:rPr>
              <w:t xml:space="preserve">Управління ризиками у мікробіологічний лабораторії: </w:t>
            </w:r>
            <w:r w:rsidRPr="09C4C6A2">
              <w:rPr>
                <w:rFonts w:ascii="Calibri" w:eastAsia="Calibri" w:hAnsi="Calibri" w:cs="Calibri"/>
                <w:sz w:val="20"/>
                <w:szCs w:val="20"/>
                <w:lang w:val="uk-UA"/>
              </w:rPr>
              <w:t xml:space="preserve">принципи та міжнародні стандарти управління ризиками (ISO 22367, ISO 15189, CLSI EP23). Практичне застосування аналізу видів і наслідків відмов (FMEA) для ідентифікації критичних точок у мікробіологічній лабораторії. Практичні заняття щодо розробки та оновлення реєстру ризиків,  підходи до пом'якшення дії ризиків. </w:t>
            </w:r>
          </w:p>
          <w:p w14:paraId="29EED8A2" w14:textId="77777777" w:rsidR="0076184E" w:rsidRDefault="0076184E" w:rsidP="00E44410">
            <w:pPr>
              <w:jc w:val="both"/>
              <w:rPr>
                <w:rFonts w:ascii="Calibri" w:eastAsia="Calibri" w:hAnsi="Calibri" w:cs="Calibri"/>
                <w:sz w:val="20"/>
                <w:szCs w:val="20"/>
                <w:lang w:val="uk-UA"/>
              </w:rPr>
            </w:pPr>
            <w:r w:rsidRPr="09C4C6A2">
              <w:rPr>
                <w:b/>
                <w:bCs/>
                <w:sz w:val="20"/>
                <w:szCs w:val="20"/>
                <w:lang w:val="uk-UA"/>
              </w:rPr>
              <w:t>Процеси оцінювання якості:</w:t>
            </w:r>
            <w:r w:rsidRPr="09C4C6A2">
              <w:rPr>
                <w:sz w:val="20"/>
                <w:szCs w:val="20"/>
                <w:lang w:val="uk-UA"/>
              </w:rPr>
              <w:t xml:space="preserve"> індикатори якості в мікробіологічній лабораторії, моніторинг індикаторів якості внутрішні аудити, аналіз першопричин та механізми постійного вдосконалення.</w:t>
            </w:r>
          </w:p>
          <w:p w14:paraId="4AF980F0" w14:textId="77777777" w:rsidR="0076184E" w:rsidRDefault="0076184E" w:rsidP="00E44410">
            <w:pPr>
              <w:jc w:val="both"/>
              <w:rPr>
                <w:sz w:val="20"/>
                <w:szCs w:val="20"/>
                <w:lang w:val="uk-UA"/>
              </w:rPr>
            </w:pPr>
            <w:r w:rsidRPr="09C4C6A2">
              <w:rPr>
                <w:rFonts w:ascii="Calibri" w:eastAsia="Calibri" w:hAnsi="Calibri" w:cs="Calibri"/>
                <w:b/>
                <w:bCs/>
                <w:sz w:val="20"/>
                <w:szCs w:val="20"/>
                <w:lang w:val="uk-UA"/>
              </w:rPr>
              <w:t xml:space="preserve">Внутрішній контроль якості (IQC) у бактеріологічній лабораторії: </w:t>
            </w:r>
            <w:r w:rsidRPr="09C4C6A2">
              <w:rPr>
                <w:rFonts w:ascii="Calibri" w:eastAsia="Calibri" w:hAnsi="Calibri" w:cs="Calibri"/>
                <w:sz w:val="20"/>
                <w:szCs w:val="20"/>
                <w:lang w:val="uk-UA"/>
              </w:rPr>
              <w:t xml:space="preserve"> Використання ризик-орієнтованого підходу до планування внутрішнього контролю якості. Методи статистичного аналізу даних контролю якості які рекомендуються міжнародними стандартами (CAP, </w:t>
            </w:r>
            <w:r w:rsidRPr="09C4C6A2">
              <w:rPr>
                <w:rFonts w:ascii="Calibri" w:eastAsia="Calibri" w:hAnsi="Calibri" w:cs="Calibri"/>
                <w:sz w:val="20"/>
                <w:szCs w:val="20"/>
                <w:lang w:val="uk-UA"/>
              </w:rPr>
              <w:lastRenderedPageBreak/>
              <w:t>CLSI, EUCAST). Алгоритми реагування на статистичні відхилення внутрішнього контролю якістю та управління невідповідностями</w:t>
            </w:r>
          </w:p>
          <w:p w14:paraId="60D458F8" w14:textId="77777777" w:rsidR="0076184E" w:rsidRDefault="0076184E" w:rsidP="00E44410">
            <w:pPr>
              <w:jc w:val="both"/>
              <w:rPr>
                <w:sz w:val="20"/>
                <w:szCs w:val="20"/>
                <w:lang w:val="uk-UA"/>
              </w:rPr>
            </w:pPr>
            <w:r w:rsidRPr="09C4C6A2">
              <w:rPr>
                <w:b/>
                <w:bCs/>
                <w:sz w:val="20"/>
                <w:szCs w:val="20"/>
                <w:lang w:val="uk-UA"/>
              </w:rPr>
              <w:t xml:space="preserve">Верифікація лабораторних методів: </w:t>
            </w:r>
            <w:r w:rsidRPr="09C4C6A2">
              <w:rPr>
                <w:sz w:val="20"/>
                <w:szCs w:val="20"/>
                <w:lang w:val="uk-UA"/>
              </w:rPr>
              <w:t>п</w:t>
            </w:r>
            <w:r w:rsidRPr="09C4C6A2">
              <w:rPr>
                <w:rFonts w:ascii="Calibri" w:eastAsia="Calibri" w:hAnsi="Calibri" w:cs="Calibri"/>
                <w:sz w:val="20"/>
                <w:szCs w:val="20"/>
                <w:lang w:val="uk-UA"/>
              </w:rPr>
              <w:t xml:space="preserve">ідходи до верифікації різних методів у клінічній мікробіології та визначення того, як оцінка невизначеності вимірювання (measurement uncertainty) може бути застосована у мікробіологічній практиці, де більшість методів є якісними. Особлива увага приділяється відповідним міжнародним документам, зокрема настановам CAP (College of American Pathologists, </w:t>
            </w:r>
            <w:r w:rsidRPr="09C4C6A2">
              <w:rPr>
                <w:sz w:val="20"/>
                <w:szCs w:val="20"/>
                <w:lang w:val="uk-UA"/>
              </w:rPr>
              <w:t xml:space="preserve"> ISO 20914). Проведення практичних занять із розробки планів верифікації  методик.</w:t>
            </w:r>
          </w:p>
          <w:p w14:paraId="4D65FD81" w14:textId="77777777" w:rsidR="0076184E" w:rsidRDefault="0076184E" w:rsidP="00E44410">
            <w:pPr>
              <w:jc w:val="both"/>
            </w:pPr>
            <w:r w:rsidRPr="425A017F">
              <w:rPr>
                <w:b/>
                <w:bCs/>
                <w:sz w:val="20"/>
                <w:szCs w:val="20"/>
                <w:lang w:val="uk-UA"/>
              </w:rPr>
              <w:t xml:space="preserve">Оцінка компетентності персоналу: </w:t>
            </w:r>
            <w:r w:rsidRPr="425A017F">
              <w:rPr>
                <w:sz w:val="20"/>
                <w:szCs w:val="20"/>
                <w:lang w:val="uk-UA"/>
              </w:rPr>
              <w:t>підходи, передбачені ISO 15189, планування оцінювання компетентності, документування та управління ресурсами.</w:t>
            </w:r>
          </w:p>
          <w:p w14:paraId="5CBB2EC7" w14:textId="77777777" w:rsidR="0076184E" w:rsidRDefault="0076184E" w:rsidP="00E44410">
            <w:pPr>
              <w:jc w:val="both"/>
            </w:pPr>
            <w:r w:rsidRPr="425A017F">
              <w:rPr>
                <w:b/>
                <w:bCs/>
                <w:sz w:val="20"/>
                <w:szCs w:val="20"/>
                <w:lang w:val="uk-UA"/>
              </w:rPr>
              <w:t xml:space="preserve">Сучасні практики документування: </w:t>
            </w:r>
            <w:r w:rsidRPr="425A017F">
              <w:rPr>
                <w:sz w:val="20"/>
                <w:szCs w:val="20"/>
                <w:lang w:val="uk-UA"/>
              </w:rPr>
              <w:t>актуальні тенденції у документуванні процесів та практична інтеграція в систему управління якістю лабораторії.</w:t>
            </w:r>
          </w:p>
          <w:p w14:paraId="13FE7E3C" w14:textId="77777777" w:rsidR="0076184E" w:rsidRDefault="0076184E" w:rsidP="00E44410">
            <w:pPr>
              <w:jc w:val="both"/>
              <w:rPr>
                <w:rFonts w:cstheme="minorHAnsi"/>
                <w:b/>
                <w:bCs/>
                <w:sz w:val="20"/>
                <w:szCs w:val="20"/>
                <w:lang w:val="uk-UA"/>
              </w:rPr>
            </w:pPr>
            <w:r w:rsidRPr="425A017F">
              <w:rPr>
                <w:b/>
                <w:bCs/>
                <w:sz w:val="20"/>
                <w:szCs w:val="20"/>
                <w:lang w:val="uk-UA"/>
              </w:rPr>
              <w:t xml:space="preserve">Компоненти навчання «peer-to-peer»: </w:t>
            </w:r>
            <w:r w:rsidRPr="425A017F">
              <w:rPr>
                <w:sz w:val="20"/>
                <w:szCs w:val="20"/>
                <w:lang w:val="uk-UA"/>
              </w:rPr>
              <w:t>короткі рефреш-презентації від учасників та дискусійна сесія щодо контролю якості поживних середовищ і дисків з антибіотиками.</w:t>
            </w:r>
          </w:p>
        </w:tc>
        <w:tc>
          <w:tcPr>
            <w:tcW w:w="4677" w:type="dxa"/>
          </w:tcPr>
          <w:p w14:paraId="2C564521" w14:textId="269E3717" w:rsidR="001D7A78" w:rsidRPr="001D7A78" w:rsidRDefault="001D7A78" w:rsidP="001D7A78">
            <w:pPr>
              <w:jc w:val="both"/>
              <w:rPr>
                <w:rFonts w:cstheme="minorHAnsi"/>
                <w:b/>
                <w:bCs/>
                <w:sz w:val="20"/>
                <w:szCs w:val="20"/>
                <w:lang w:val="uk-UA"/>
              </w:rPr>
            </w:pPr>
            <w:r w:rsidRPr="001D7A78">
              <w:rPr>
                <w:rFonts w:cstheme="minorHAnsi"/>
                <w:b/>
                <w:bCs/>
                <w:sz w:val="20"/>
                <w:szCs w:val="20"/>
                <w:lang w:val="uk-UA"/>
              </w:rPr>
              <w:lastRenderedPageBreak/>
              <w:t xml:space="preserve">Main topics to be covered in the </w:t>
            </w:r>
            <w:r w:rsidR="002A6932">
              <w:rPr>
                <w:rFonts w:cstheme="minorHAnsi"/>
                <w:b/>
                <w:bCs/>
                <w:sz w:val="20"/>
                <w:szCs w:val="20"/>
                <w:lang w:val="en-US"/>
              </w:rPr>
              <w:t>seminar</w:t>
            </w:r>
            <w:r w:rsidRPr="001D7A78">
              <w:rPr>
                <w:rFonts w:cstheme="minorHAnsi"/>
                <w:b/>
                <w:bCs/>
                <w:sz w:val="20"/>
                <w:szCs w:val="20"/>
                <w:lang w:val="uk-UA"/>
              </w:rPr>
              <w:t xml:space="preserve"> program:</w:t>
            </w:r>
          </w:p>
          <w:p w14:paraId="20A2501A" w14:textId="77777777" w:rsidR="001D7A78" w:rsidRDefault="001D7A78" w:rsidP="001D7A78">
            <w:pPr>
              <w:jc w:val="both"/>
              <w:rPr>
                <w:rFonts w:cstheme="minorHAnsi"/>
                <w:b/>
                <w:bCs/>
                <w:sz w:val="20"/>
                <w:szCs w:val="20"/>
                <w:lang w:val="en-US"/>
              </w:rPr>
            </w:pPr>
          </w:p>
          <w:p w14:paraId="72CC6FE8" w14:textId="77777777" w:rsidR="0076184E" w:rsidRDefault="001D7A78" w:rsidP="001D7A78">
            <w:pPr>
              <w:jc w:val="both"/>
              <w:rPr>
                <w:rFonts w:cstheme="minorHAnsi"/>
                <w:sz w:val="20"/>
                <w:szCs w:val="20"/>
                <w:lang w:val="en-US"/>
              </w:rPr>
            </w:pPr>
            <w:r w:rsidRPr="001D7A78">
              <w:rPr>
                <w:rFonts w:cstheme="minorHAnsi"/>
                <w:b/>
                <w:bCs/>
                <w:sz w:val="20"/>
                <w:szCs w:val="20"/>
                <w:lang w:val="uk-UA"/>
              </w:rPr>
              <w:t xml:space="preserve">Risk management in microbiology laboratories: </w:t>
            </w:r>
            <w:r w:rsidRPr="001D7A78">
              <w:rPr>
                <w:rFonts w:cstheme="minorHAnsi"/>
                <w:sz w:val="20"/>
                <w:szCs w:val="20"/>
                <w:lang w:val="uk-UA"/>
              </w:rPr>
              <w:t>principles and international standards for risk management (ISO 22367, ISO 15189, CLSI EP23). Practical application of failure mode and effects analysis (FMEA) to identify critical points in a microbiology laboratory. Practical exercises on developing and updating a risk register, approaches to mitigating risks.</w:t>
            </w:r>
          </w:p>
          <w:p w14:paraId="67C82D66" w14:textId="7F8D3AD9" w:rsidR="00E76FC4" w:rsidRPr="00E76FC4" w:rsidRDefault="00E76FC4" w:rsidP="00E76FC4">
            <w:pPr>
              <w:jc w:val="both"/>
              <w:rPr>
                <w:rFonts w:cstheme="minorHAnsi"/>
                <w:sz w:val="20"/>
                <w:szCs w:val="20"/>
                <w:lang w:val="en-US"/>
              </w:rPr>
            </w:pPr>
            <w:r w:rsidRPr="00E76FC4">
              <w:rPr>
                <w:rFonts w:cstheme="minorHAnsi"/>
                <w:b/>
                <w:bCs/>
                <w:sz w:val="20"/>
                <w:szCs w:val="20"/>
                <w:lang w:val="en-US"/>
              </w:rPr>
              <w:t xml:space="preserve">Quality assessment processes: </w:t>
            </w:r>
            <w:r w:rsidRPr="00E76FC4">
              <w:rPr>
                <w:rFonts w:cstheme="minorHAnsi"/>
                <w:sz w:val="20"/>
                <w:szCs w:val="20"/>
                <w:lang w:val="en-US"/>
              </w:rPr>
              <w:t xml:space="preserve">quality indicators in a microbiology laboratory, </w:t>
            </w:r>
            <w:r w:rsidR="002A6932" w:rsidRPr="00E76FC4">
              <w:rPr>
                <w:rFonts w:cstheme="minorHAnsi"/>
                <w:sz w:val="20"/>
                <w:szCs w:val="20"/>
                <w:lang w:val="en-US"/>
              </w:rPr>
              <w:t>monitoring</w:t>
            </w:r>
            <w:r w:rsidRPr="00E76FC4">
              <w:rPr>
                <w:rFonts w:cstheme="minorHAnsi"/>
                <w:sz w:val="20"/>
                <w:szCs w:val="20"/>
                <w:lang w:val="en-US"/>
              </w:rPr>
              <w:t xml:space="preserve"> quality indicators, internal audits, root cause analysis and continuous improvement mechanisms.</w:t>
            </w:r>
          </w:p>
          <w:p w14:paraId="4C99C04C" w14:textId="77777777" w:rsidR="00E76FC4" w:rsidRDefault="00E76FC4" w:rsidP="00E76FC4">
            <w:pPr>
              <w:jc w:val="both"/>
              <w:rPr>
                <w:rFonts w:cstheme="minorHAnsi"/>
                <w:sz w:val="20"/>
                <w:szCs w:val="20"/>
                <w:lang w:val="en-US"/>
              </w:rPr>
            </w:pPr>
            <w:r w:rsidRPr="00E76FC4">
              <w:rPr>
                <w:rFonts w:cstheme="minorHAnsi"/>
                <w:b/>
                <w:bCs/>
                <w:sz w:val="20"/>
                <w:szCs w:val="20"/>
                <w:lang w:val="en-US"/>
              </w:rPr>
              <w:t xml:space="preserve">Internal quality control (IQC) in a bacteriological laboratory: </w:t>
            </w:r>
            <w:r w:rsidRPr="00E76FC4">
              <w:rPr>
                <w:rFonts w:cstheme="minorHAnsi"/>
                <w:sz w:val="20"/>
                <w:szCs w:val="20"/>
                <w:lang w:val="en-US"/>
              </w:rPr>
              <w:t xml:space="preserve">Using a risk-based approach to planning internal quality control. Methods for statistical analysis of quality control data recommended by international standards (CAP, CLSI, EUCAST). Algorithms for </w:t>
            </w:r>
            <w:r w:rsidRPr="00E76FC4">
              <w:rPr>
                <w:rFonts w:cstheme="minorHAnsi"/>
                <w:sz w:val="20"/>
                <w:szCs w:val="20"/>
                <w:lang w:val="en-US"/>
              </w:rPr>
              <w:lastRenderedPageBreak/>
              <w:t>responding to statistical deviations of internal quality control and managing non-conformities</w:t>
            </w:r>
          </w:p>
          <w:p w14:paraId="741E6EB0" w14:textId="77777777" w:rsidR="00E76FC4" w:rsidRDefault="00E76FC4" w:rsidP="00E76FC4">
            <w:pPr>
              <w:jc w:val="both"/>
              <w:rPr>
                <w:rFonts w:cstheme="minorHAnsi"/>
                <w:sz w:val="20"/>
                <w:szCs w:val="20"/>
                <w:lang w:val="en-US"/>
              </w:rPr>
            </w:pPr>
          </w:p>
          <w:p w14:paraId="034003B7" w14:textId="049CDC6C" w:rsidR="009370C2" w:rsidRDefault="009370C2" w:rsidP="009370C2">
            <w:pPr>
              <w:jc w:val="both"/>
              <w:rPr>
                <w:rFonts w:cstheme="minorHAnsi"/>
                <w:sz w:val="20"/>
                <w:szCs w:val="20"/>
                <w:lang w:val="en-US"/>
              </w:rPr>
            </w:pPr>
            <w:r w:rsidRPr="009370C2">
              <w:rPr>
                <w:rFonts w:cstheme="minorHAnsi"/>
                <w:b/>
                <w:bCs/>
                <w:sz w:val="20"/>
                <w:szCs w:val="20"/>
                <w:lang w:val="en-US"/>
              </w:rPr>
              <w:t xml:space="preserve">Verification of laboratory methods: </w:t>
            </w:r>
            <w:r w:rsidRPr="009370C2">
              <w:rPr>
                <w:rFonts w:cstheme="minorHAnsi"/>
                <w:sz w:val="20"/>
                <w:szCs w:val="20"/>
                <w:lang w:val="en-US"/>
              </w:rPr>
              <w:t xml:space="preserve">approaches to verification of different methods in clinical microbiology and how measurement uncertainty can be applied in microbiological practice, where most methods are qualitative. Particular attention </w:t>
            </w:r>
            <w:r w:rsidR="00A93270">
              <w:rPr>
                <w:rFonts w:cstheme="minorHAnsi"/>
                <w:sz w:val="20"/>
                <w:szCs w:val="20"/>
                <w:lang w:val="en-US"/>
              </w:rPr>
              <w:t>shall be</w:t>
            </w:r>
            <w:r w:rsidRPr="009370C2">
              <w:rPr>
                <w:rFonts w:cstheme="minorHAnsi"/>
                <w:sz w:val="20"/>
                <w:szCs w:val="20"/>
                <w:lang w:val="en-US"/>
              </w:rPr>
              <w:t xml:space="preserve"> paid to relevant international documents, in particular the CAP (College of American Pathologists, ISO 20914) guidelines. Practical sessions on developing verification plans for methods.</w:t>
            </w:r>
          </w:p>
          <w:p w14:paraId="55A086F9" w14:textId="77777777" w:rsidR="009370C2" w:rsidRPr="009370C2" w:rsidRDefault="009370C2" w:rsidP="009370C2">
            <w:pPr>
              <w:jc w:val="both"/>
              <w:rPr>
                <w:rFonts w:cstheme="minorHAnsi"/>
                <w:sz w:val="20"/>
                <w:szCs w:val="20"/>
                <w:lang w:val="en-US"/>
              </w:rPr>
            </w:pPr>
          </w:p>
          <w:p w14:paraId="28ABA51F" w14:textId="77777777" w:rsidR="00E76FC4" w:rsidRDefault="009370C2" w:rsidP="009370C2">
            <w:pPr>
              <w:jc w:val="both"/>
              <w:rPr>
                <w:rFonts w:cstheme="minorHAnsi"/>
                <w:sz w:val="20"/>
                <w:szCs w:val="20"/>
                <w:lang w:val="en-US"/>
              </w:rPr>
            </w:pPr>
            <w:r w:rsidRPr="009370C2">
              <w:rPr>
                <w:rFonts w:cstheme="minorHAnsi"/>
                <w:b/>
                <w:bCs/>
                <w:sz w:val="20"/>
                <w:szCs w:val="20"/>
                <w:lang w:val="en-US"/>
              </w:rPr>
              <w:t xml:space="preserve">Assessment of personnel competence: </w:t>
            </w:r>
            <w:r w:rsidRPr="009370C2">
              <w:rPr>
                <w:rFonts w:cstheme="minorHAnsi"/>
                <w:sz w:val="20"/>
                <w:szCs w:val="20"/>
                <w:lang w:val="en-US"/>
              </w:rPr>
              <w:t>approaches provided by ISO 15189, planning of competence assessment, documentation and resource management.</w:t>
            </w:r>
          </w:p>
          <w:p w14:paraId="6820C520" w14:textId="77777777" w:rsidR="009370C2" w:rsidRPr="009370C2" w:rsidRDefault="009370C2" w:rsidP="009370C2">
            <w:pPr>
              <w:jc w:val="both"/>
              <w:rPr>
                <w:rFonts w:cstheme="minorHAnsi"/>
                <w:sz w:val="20"/>
                <w:szCs w:val="20"/>
                <w:lang w:val="en-US"/>
              </w:rPr>
            </w:pPr>
            <w:r w:rsidRPr="009370C2">
              <w:rPr>
                <w:rFonts w:cstheme="minorHAnsi"/>
                <w:b/>
                <w:bCs/>
                <w:sz w:val="20"/>
                <w:szCs w:val="20"/>
                <w:lang w:val="en-US"/>
              </w:rPr>
              <w:t xml:space="preserve">Modern Documentation Practices: </w:t>
            </w:r>
            <w:r w:rsidRPr="009370C2">
              <w:rPr>
                <w:rFonts w:cstheme="minorHAnsi"/>
                <w:sz w:val="20"/>
                <w:szCs w:val="20"/>
                <w:lang w:val="en-US"/>
              </w:rPr>
              <w:t>Current trends in process documentation and practical integration into the laboratory quality management system.</w:t>
            </w:r>
          </w:p>
          <w:p w14:paraId="4F53F2F6" w14:textId="77777777" w:rsidR="009370C2" w:rsidRDefault="009370C2" w:rsidP="009370C2">
            <w:pPr>
              <w:jc w:val="both"/>
              <w:rPr>
                <w:rFonts w:cstheme="minorHAnsi"/>
                <w:sz w:val="20"/>
                <w:szCs w:val="20"/>
                <w:lang w:val="en-US"/>
              </w:rPr>
            </w:pPr>
            <w:r w:rsidRPr="009370C2">
              <w:rPr>
                <w:rFonts w:cstheme="minorHAnsi"/>
                <w:b/>
                <w:bCs/>
                <w:sz w:val="20"/>
                <w:szCs w:val="20"/>
                <w:lang w:val="en-US"/>
              </w:rPr>
              <w:t xml:space="preserve">Peer-to-peer learning components: </w:t>
            </w:r>
            <w:r w:rsidRPr="009370C2">
              <w:rPr>
                <w:rFonts w:cstheme="minorHAnsi"/>
                <w:sz w:val="20"/>
                <w:szCs w:val="20"/>
                <w:lang w:val="en-US"/>
              </w:rPr>
              <w:t>short refresher presentations from participants and a discussion session on quality control of culture media and antibiotic discs.</w:t>
            </w:r>
          </w:p>
          <w:p w14:paraId="253D7387" w14:textId="4C373C88" w:rsidR="00A93270" w:rsidRPr="00E76FC4" w:rsidRDefault="00A93270" w:rsidP="009370C2">
            <w:pPr>
              <w:jc w:val="both"/>
              <w:rPr>
                <w:rFonts w:cstheme="minorHAnsi"/>
                <w:b/>
                <w:bCs/>
                <w:sz w:val="20"/>
                <w:szCs w:val="20"/>
                <w:lang w:val="en-US"/>
              </w:rPr>
            </w:pPr>
          </w:p>
        </w:tc>
      </w:tr>
      <w:tr w:rsidR="009060CF" w14:paraId="01D5C2C3" w14:textId="77777777" w:rsidTr="00FA7BE4">
        <w:tc>
          <w:tcPr>
            <w:tcW w:w="4957" w:type="dxa"/>
          </w:tcPr>
          <w:p w14:paraId="0F5C67EA" w14:textId="77777777" w:rsidR="0076184E" w:rsidRPr="00CD0D13" w:rsidRDefault="0076184E" w:rsidP="0076184E">
            <w:pPr>
              <w:jc w:val="both"/>
              <w:rPr>
                <w:rFonts w:cstheme="minorHAnsi"/>
                <w:b/>
                <w:bCs/>
                <w:sz w:val="20"/>
                <w:szCs w:val="20"/>
                <w:lang w:val="uk-UA"/>
              </w:rPr>
            </w:pPr>
            <w:r w:rsidRPr="00CD0D13">
              <w:rPr>
                <w:rFonts w:cstheme="minorHAnsi"/>
                <w:b/>
                <w:bCs/>
                <w:sz w:val="20"/>
                <w:szCs w:val="20"/>
                <w:lang w:val="uk-UA"/>
              </w:rPr>
              <w:lastRenderedPageBreak/>
              <w:t xml:space="preserve">Програма </w:t>
            </w:r>
            <w:r>
              <w:rPr>
                <w:rFonts w:cstheme="minorHAnsi"/>
                <w:b/>
                <w:bCs/>
                <w:sz w:val="20"/>
                <w:szCs w:val="20"/>
                <w:lang w:val="uk-UA"/>
              </w:rPr>
              <w:t xml:space="preserve">семінару повинна бути </w:t>
            </w:r>
            <w:r w:rsidRPr="00CD0D13">
              <w:rPr>
                <w:rFonts w:cstheme="minorHAnsi"/>
                <w:b/>
                <w:bCs/>
                <w:sz w:val="20"/>
                <w:szCs w:val="20"/>
                <w:lang w:val="uk-UA"/>
              </w:rPr>
              <w:t xml:space="preserve">розроблена з урахуванням: </w:t>
            </w:r>
          </w:p>
          <w:p w14:paraId="670B39E6" w14:textId="77777777" w:rsidR="0076184E" w:rsidRPr="00A93270" w:rsidRDefault="0076184E" w:rsidP="0076184E">
            <w:pPr>
              <w:jc w:val="both"/>
              <w:rPr>
                <w:rFonts w:cstheme="minorHAnsi"/>
                <w:sz w:val="20"/>
                <w:szCs w:val="20"/>
                <w:lang w:val="uk-UA"/>
              </w:rPr>
            </w:pPr>
            <w:r w:rsidRPr="00A93270">
              <w:rPr>
                <w:rFonts w:cstheme="minorHAnsi"/>
                <w:sz w:val="20"/>
                <w:szCs w:val="20"/>
                <w:lang w:val="uk-UA"/>
              </w:rPr>
              <w:t xml:space="preserve">– сучасних вимог до акредитованих лабораторій; </w:t>
            </w:r>
          </w:p>
          <w:p w14:paraId="34B907BE" w14:textId="77777777" w:rsidR="0076184E" w:rsidRPr="00A93270" w:rsidRDefault="0076184E" w:rsidP="0076184E">
            <w:pPr>
              <w:jc w:val="both"/>
              <w:rPr>
                <w:sz w:val="20"/>
                <w:szCs w:val="20"/>
                <w:lang w:val="uk-UA"/>
              </w:rPr>
            </w:pPr>
            <w:r w:rsidRPr="00A93270">
              <w:rPr>
                <w:sz w:val="20"/>
                <w:szCs w:val="20"/>
                <w:lang w:val="uk-UA"/>
              </w:rPr>
              <w:t xml:space="preserve">– специфіки роботи бактеріологічних підрозділів закладів охорони здоров’я; </w:t>
            </w:r>
          </w:p>
          <w:p w14:paraId="396AE009" w14:textId="77777777" w:rsidR="0076184E" w:rsidRPr="00A93270" w:rsidRDefault="0076184E" w:rsidP="0076184E">
            <w:pPr>
              <w:jc w:val="both"/>
              <w:rPr>
                <w:rFonts w:cstheme="minorHAnsi"/>
                <w:sz w:val="20"/>
                <w:szCs w:val="20"/>
                <w:lang w:val="uk-UA"/>
              </w:rPr>
            </w:pPr>
            <w:r w:rsidRPr="00A93270">
              <w:rPr>
                <w:rFonts w:cstheme="minorHAnsi"/>
                <w:sz w:val="20"/>
                <w:szCs w:val="20"/>
                <w:lang w:val="uk-UA"/>
              </w:rPr>
              <w:t xml:space="preserve">– міжнародних підходів до систем менеджменту якості та ризик-орієнтованого мислення. </w:t>
            </w:r>
          </w:p>
          <w:p w14:paraId="3DD7AE2F" w14:textId="25AB9BE0" w:rsidR="009060CF" w:rsidRDefault="009060CF" w:rsidP="009060CF">
            <w:pPr>
              <w:jc w:val="both"/>
              <w:rPr>
                <w:rFonts w:cstheme="minorHAnsi"/>
                <w:b/>
                <w:bCs/>
                <w:sz w:val="20"/>
                <w:szCs w:val="20"/>
                <w:lang w:val="uk-UA"/>
              </w:rPr>
            </w:pPr>
          </w:p>
        </w:tc>
        <w:tc>
          <w:tcPr>
            <w:tcW w:w="4677" w:type="dxa"/>
          </w:tcPr>
          <w:p w14:paraId="289E3A08" w14:textId="25D918FC" w:rsidR="00FA7BE4" w:rsidRPr="00FA7BE4" w:rsidRDefault="00FA7BE4" w:rsidP="00FA7BE4">
            <w:pPr>
              <w:jc w:val="both"/>
              <w:rPr>
                <w:rFonts w:cstheme="minorHAnsi"/>
                <w:b/>
                <w:bCs/>
                <w:sz w:val="20"/>
                <w:szCs w:val="20"/>
                <w:lang w:val="uk-UA"/>
              </w:rPr>
            </w:pPr>
            <w:r w:rsidRPr="00FA7BE4">
              <w:rPr>
                <w:rFonts w:cstheme="minorHAnsi"/>
                <w:b/>
                <w:bCs/>
                <w:sz w:val="20"/>
                <w:szCs w:val="20"/>
                <w:lang w:val="uk-UA"/>
              </w:rPr>
              <w:t xml:space="preserve">The </w:t>
            </w:r>
            <w:r>
              <w:rPr>
                <w:rFonts w:cstheme="minorHAnsi"/>
                <w:b/>
                <w:bCs/>
                <w:sz w:val="20"/>
                <w:szCs w:val="20"/>
                <w:lang w:val="en-US"/>
              </w:rPr>
              <w:t>training</w:t>
            </w:r>
            <w:r w:rsidRPr="00FA7BE4">
              <w:rPr>
                <w:rFonts w:cstheme="minorHAnsi"/>
                <w:b/>
                <w:bCs/>
                <w:sz w:val="20"/>
                <w:szCs w:val="20"/>
                <w:lang w:val="uk-UA"/>
              </w:rPr>
              <w:t xml:space="preserve"> program should be developed taking into account: </w:t>
            </w:r>
          </w:p>
          <w:p w14:paraId="592515FA" w14:textId="77777777" w:rsidR="00FA7BE4" w:rsidRPr="00A93270" w:rsidRDefault="00FA7BE4" w:rsidP="00FA7BE4">
            <w:pPr>
              <w:jc w:val="both"/>
              <w:rPr>
                <w:rFonts w:cstheme="minorHAnsi"/>
                <w:sz w:val="20"/>
                <w:szCs w:val="20"/>
                <w:lang w:val="uk-UA"/>
              </w:rPr>
            </w:pPr>
            <w:r w:rsidRPr="00A93270">
              <w:rPr>
                <w:rFonts w:cstheme="minorHAnsi"/>
                <w:sz w:val="20"/>
                <w:szCs w:val="20"/>
                <w:lang w:val="uk-UA"/>
              </w:rPr>
              <w:t xml:space="preserve">– modern requirements for accredited laboratories; </w:t>
            </w:r>
          </w:p>
          <w:p w14:paraId="7EC90630" w14:textId="77777777" w:rsidR="00FA7BE4" w:rsidRPr="00A93270" w:rsidRDefault="00FA7BE4" w:rsidP="00FA7BE4">
            <w:pPr>
              <w:jc w:val="both"/>
              <w:rPr>
                <w:rFonts w:cstheme="minorHAnsi"/>
                <w:sz w:val="20"/>
                <w:szCs w:val="20"/>
                <w:lang w:val="uk-UA"/>
              </w:rPr>
            </w:pPr>
            <w:r w:rsidRPr="00A93270">
              <w:rPr>
                <w:rFonts w:cstheme="minorHAnsi"/>
                <w:sz w:val="20"/>
                <w:szCs w:val="20"/>
                <w:lang w:val="uk-UA"/>
              </w:rPr>
              <w:t xml:space="preserve">– specifics of the work of bacteriological departments of healthcare institutions; </w:t>
            </w:r>
          </w:p>
          <w:p w14:paraId="16422017" w14:textId="00FF4EA3" w:rsidR="009060CF" w:rsidRDefault="00FA7BE4" w:rsidP="00FA7BE4">
            <w:pPr>
              <w:jc w:val="both"/>
              <w:rPr>
                <w:rFonts w:cstheme="minorHAnsi"/>
                <w:b/>
                <w:bCs/>
                <w:sz w:val="20"/>
                <w:szCs w:val="20"/>
                <w:lang w:val="uk-UA"/>
              </w:rPr>
            </w:pPr>
            <w:r w:rsidRPr="00A93270">
              <w:rPr>
                <w:rFonts w:cstheme="minorHAnsi"/>
                <w:sz w:val="20"/>
                <w:szCs w:val="20"/>
                <w:lang w:val="uk-UA"/>
              </w:rPr>
              <w:t>– international approaches to quality management systems and risk-based thinking.</w:t>
            </w:r>
          </w:p>
        </w:tc>
      </w:tr>
      <w:tr w:rsidR="0076184E" w14:paraId="264EF4EF" w14:textId="77777777" w:rsidTr="00FA7BE4">
        <w:tc>
          <w:tcPr>
            <w:tcW w:w="4957" w:type="dxa"/>
          </w:tcPr>
          <w:p w14:paraId="549A6E40" w14:textId="77777777" w:rsidR="0076184E" w:rsidRDefault="0076184E" w:rsidP="00E44410">
            <w:pPr>
              <w:jc w:val="both"/>
              <w:rPr>
                <w:b/>
                <w:bCs/>
                <w:sz w:val="20"/>
                <w:szCs w:val="20"/>
                <w:lang w:val="uk-UA"/>
              </w:rPr>
            </w:pPr>
            <w:r w:rsidRPr="425A017F">
              <w:rPr>
                <w:b/>
                <w:bCs/>
                <w:sz w:val="20"/>
                <w:szCs w:val="20"/>
                <w:lang w:val="uk-UA"/>
              </w:rPr>
              <w:t xml:space="preserve">Вимоги до компетентності тренерів: </w:t>
            </w:r>
          </w:p>
          <w:p w14:paraId="43846451" w14:textId="77777777" w:rsidR="0076184E" w:rsidRDefault="0076184E" w:rsidP="00E44410">
            <w:pPr>
              <w:jc w:val="both"/>
              <w:rPr>
                <w:b/>
                <w:bCs/>
                <w:sz w:val="20"/>
                <w:szCs w:val="20"/>
                <w:lang w:val="uk-UA"/>
              </w:rPr>
            </w:pPr>
            <w:r w:rsidRPr="09C4C6A2">
              <w:rPr>
                <w:b/>
                <w:bCs/>
                <w:sz w:val="20"/>
                <w:szCs w:val="20"/>
                <w:lang w:val="uk-UA"/>
              </w:rPr>
              <w:t>1. Технічна експертиза у клінічній бактеріології та ISO 15189:2022.</w:t>
            </w:r>
          </w:p>
          <w:p w14:paraId="490953D0" w14:textId="77777777" w:rsidR="0076184E" w:rsidRDefault="0076184E" w:rsidP="00E44410">
            <w:pPr>
              <w:jc w:val="both"/>
              <w:rPr>
                <w:rFonts w:ascii="Calibri" w:eastAsia="Calibri" w:hAnsi="Calibri" w:cs="Calibri"/>
                <w:sz w:val="20"/>
                <w:szCs w:val="20"/>
                <w:lang w:val="uk-UA"/>
              </w:rPr>
            </w:pPr>
            <w:r w:rsidRPr="09C4C6A2">
              <w:rPr>
                <w:sz w:val="20"/>
                <w:szCs w:val="20"/>
                <w:lang w:val="uk-UA"/>
              </w:rPr>
              <w:t>Підтверджений досвід роботи в бактеріологічних або клінічних мікробіологічних лабораторіях та глибоке розуміння вимог ISO 15189:2022, включно з менеджментом ризиків, забезпеченням якості та верифікацією методів. Знання міжнародних стандартів ISO 15189:2022, EUCAST,</w:t>
            </w:r>
            <w:r w:rsidRPr="09C4C6A2">
              <w:rPr>
                <w:rFonts w:ascii="Calibri" w:eastAsia="Calibri" w:hAnsi="Calibri" w:cs="Calibri"/>
                <w:sz w:val="20"/>
                <w:szCs w:val="20"/>
                <w:lang w:val="uk-UA"/>
              </w:rPr>
              <w:t xml:space="preserve"> CLSI, CAP, ISO 22367, </w:t>
            </w:r>
            <w:r w:rsidRPr="09C4C6A2">
              <w:rPr>
                <w:sz w:val="20"/>
                <w:szCs w:val="20"/>
                <w:lang w:val="uk-UA"/>
              </w:rPr>
              <w:t>ISO 2091</w:t>
            </w:r>
            <w:r w:rsidRPr="09C4C6A2">
              <w:rPr>
                <w:rFonts w:ascii="Calibri" w:eastAsia="Calibri" w:hAnsi="Calibri" w:cs="Calibri"/>
                <w:sz w:val="20"/>
                <w:szCs w:val="20"/>
                <w:lang w:val="uk-UA"/>
              </w:rPr>
              <w:t>.</w:t>
            </w:r>
          </w:p>
          <w:p w14:paraId="05E12AFB" w14:textId="77777777" w:rsidR="0076184E" w:rsidRDefault="0076184E" w:rsidP="00E44410">
            <w:pPr>
              <w:jc w:val="both"/>
              <w:rPr>
                <w:b/>
                <w:bCs/>
                <w:sz w:val="20"/>
                <w:szCs w:val="20"/>
                <w:lang w:val="uk-UA"/>
              </w:rPr>
            </w:pPr>
            <w:r w:rsidRPr="425A017F">
              <w:rPr>
                <w:b/>
                <w:bCs/>
                <w:sz w:val="20"/>
                <w:szCs w:val="20"/>
                <w:lang w:val="uk-UA"/>
              </w:rPr>
              <w:t>2. Практичний досвід упровадження систем управління якістю та ризиками.</w:t>
            </w:r>
          </w:p>
          <w:p w14:paraId="2A3A9F8C" w14:textId="77777777" w:rsidR="0076184E" w:rsidRDefault="0076184E" w:rsidP="00E44410">
            <w:pPr>
              <w:jc w:val="both"/>
              <w:rPr>
                <w:sz w:val="20"/>
                <w:szCs w:val="20"/>
                <w:lang w:val="uk-UA"/>
              </w:rPr>
            </w:pPr>
            <w:r w:rsidRPr="09C4C6A2">
              <w:rPr>
                <w:sz w:val="20"/>
                <w:szCs w:val="20"/>
                <w:lang w:val="uk-UA"/>
              </w:rPr>
              <w:t>Підтверджений досвід у розробці або вдосконаленні лабораторних реєстрів ризиків, проведенні внутрішніх аудитів, застосуванні стратегій контролю якості та інструментів (FMEA, контрольні карти, оцінка невизначеності тощо).</w:t>
            </w:r>
          </w:p>
          <w:p w14:paraId="260798D3" w14:textId="77777777" w:rsidR="0076184E" w:rsidRDefault="0076184E" w:rsidP="00E44410">
            <w:pPr>
              <w:jc w:val="both"/>
              <w:rPr>
                <w:b/>
                <w:bCs/>
                <w:sz w:val="20"/>
                <w:szCs w:val="20"/>
                <w:lang w:val="uk-UA"/>
              </w:rPr>
            </w:pPr>
            <w:r w:rsidRPr="425A017F">
              <w:rPr>
                <w:b/>
                <w:bCs/>
                <w:sz w:val="20"/>
                <w:szCs w:val="20"/>
                <w:lang w:val="uk-UA"/>
              </w:rPr>
              <w:t>3. Компетентність у проведенні тренінгів та фасилітації.</w:t>
            </w:r>
          </w:p>
          <w:p w14:paraId="0C7E9DC3" w14:textId="77777777" w:rsidR="0076184E" w:rsidRDefault="0076184E" w:rsidP="00E44410">
            <w:pPr>
              <w:jc w:val="both"/>
            </w:pPr>
            <w:r w:rsidRPr="425A017F">
              <w:rPr>
                <w:sz w:val="20"/>
                <w:szCs w:val="20"/>
                <w:lang w:val="uk-UA"/>
              </w:rPr>
              <w:t>Підтверджений досвід проведення технічних навчань або семінарів для лабораторного персоналу, здатність чітко пояснювати складні концепції, організовувати практичні заняття та забезпечувати активну участь учасників.</w:t>
            </w:r>
          </w:p>
          <w:p w14:paraId="707703C6" w14:textId="77777777" w:rsidR="0076184E" w:rsidRDefault="0076184E" w:rsidP="00E44410">
            <w:pPr>
              <w:jc w:val="both"/>
              <w:rPr>
                <w:b/>
                <w:bCs/>
                <w:sz w:val="20"/>
                <w:szCs w:val="20"/>
                <w:lang w:val="uk-UA"/>
              </w:rPr>
            </w:pPr>
            <w:r w:rsidRPr="425A017F">
              <w:rPr>
                <w:b/>
                <w:bCs/>
                <w:sz w:val="20"/>
                <w:szCs w:val="20"/>
                <w:lang w:val="uk-UA"/>
              </w:rPr>
              <w:t>4. Комунікаційні та професійні навички.</w:t>
            </w:r>
          </w:p>
          <w:p w14:paraId="20D8BD24" w14:textId="77777777" w:rsidR="0076184E" w:rsidRDefault="0076184E" w:rsidP="00E44410">
            <w:pPr>
              <w:jc w:val="both"/>
            </w:pPr>
            <w:r w:rsidRPr="425A017F">
              <w:rPr>
                <w:sz w:val="20"/>
                <w:szCs w:val="20"/>
                <w:lang w:val="uk-UA"/>
              </w:rPr>
              <w:lastRenderedPageBreak/>
              <w:t>Відмінні навички комунікації (українською та/або англійською за потреби), уміння розробляти якісні навчальні матеріали та здатність підтримувати командну роботу й обмін досвідом між учасниками.</w:t>
            </w:r>
          </w:p>
          <w:p w14:paraId="35DCCB72" w14:textId="77777777" w:rsidR="0076184E" w:rsidRDefault="0076184E" w:rsidP="00E44410">
            <w:pPr>
              <w:jc w:val="both"/>
              <w:rPr>
                <w:rFonts w:cstheme="minorHAnsi"/>
                <w:b/>
                <w:bCs/>
                <w:sz w:val="20"/>
                <w:szCs w:val="20"/>
                <w:lang w:val="uk-UA"/>
              </w:rPr>
            </w:pPr>
          </w:p>
        </w:tc>
        <w:tc>
          <w:tcPr>
            <w:tcW w:w="4677" w:type="dxa"/>
          </w:tcPr>
          <w:p w14:paraId="3560A44D" w14:textId="77777777" w:rsidR="00A83075" w:rsidRPr="00A83075" w:rsidRDefault="00A83075" w:rsidP="00A83075">
            <w:pPr>
              <w:jc w:val="both"/>
              <w:rPr>
                <w:rFonts w:cstheme="minorHAnsi"/>
                <w:b/>
                <w:bCs/>
                <w:sz w:val="20"/>
                <w:szCs w:val="20"/>
                <w:lang w:val="uk-UA"/>
              </w:rPr>
            </w:pPr>
            <w:r w:rsidRPr="00A83075">
              <w:rPr>
                <w:rFonts w:cstheme="minorHAnsi"/>
                <w:b/>
                <w:bCs/>
                <w:sz w:val="20"/>
                <w:szCs w:val="20"/>
                <w:lang w:val="uk-UA"/>
              </w:rPr>
              <w:lastRenderedPageBreak/>
              <w:t>Trainer Competency Requirements:</w:t>
            </w:r>
          </w:p>
          <w:p w14:paraId="578BDE8F" w14:textId="77777777" w:rsidR="00A83075" w:rsidRPr="00A83075" w:rsidRDefault="00A83075" w:rsidP="00A83075">
            <w:pPr>
              <w:jc w:val="both"/>
              <w:rPr>
                <w:rFonts w:cstheme="minorHAnsi"/>
                <w:b/>
                <w:bCs/>
                <w:sz w:val="20"/>
                <w:szCs w:val="20"/>
                <w:lang w:val="uk-UA"/>
              </w:rPr>
            </w:pPr>
            <w:r w:rsidRPr="00A83075">
              <w:rPr>
                <w:rFonts w:cstheme="minorHAnsi"/>
                <w:b/>
                <w:bCs/>
                <w:sz w:val="20"/>
                <w:szCs w:val="20"/>
                <w:lang w:val="uk-UA"/>
              </w:rPr>
              <w:t>1. Technical expertise in clinical bacteriology and ISO 15189:2022.</w:t>
            </w:r>
          </w:p>
          <w:p w14:paraId="2BE603D2" w14:textId="77777777" w:rsidR="00A83075" w:rsidRPr="003538F8" w:rsidRDefault="00A83075" w:rsidP="00A83075">
            <w:pPr>
              <w:jc w:val="both"/>
              <w:rPr>
                <w:rFonts w:cstheme="minorHAnsi"/>
                <w:sz w:val="20"/>
                <w:szCs w:val="20"/>
                <w:lang w:val="uk-UA"/>
              </w:rPr>
            </w:pPr>
            <w:r w:rsidRPr="003538F8">
              <w:rPr>
                <w:rFonts w:cstheme="minorHAnsi"/>
                <w:sz w:val="20"/>
                <w:szCs w:val="20"/>
                <w:lang w:val="uk-UA"/>
              </w:rPr>
              <w:t>Proven experience in bacteriological or clinical microbiology laboratories and a deep understanding of ISO 15189:2022 requirements, including risk management, quality assurance and method verification. Knowledge of international standards ISO 15189:2022, EUCAST, CLSI, CAP, ISO 22367, ISO 2091.</w:t>
            </w:r>
          </w:p>
          <w:p w14:paraId="322D4A09" w14:textId="77777777" w:rsidR="00A83075" w:rsidRPr="00A83075" w:rsidRDefault="00A83075" w:rsidP="00A83075">
            <w:pPr>
              <w:jc w:val="both"/>
              <w:rPr>
                <w:rFonts w:cstheme="minorHAnsi"/>
                <w:b/>
                <w:bCs/>
                <w:sz w:val="20"/>
                <w:szCs w:val="20"/>
                <w:lang w:val="uk-UA"/>
              </w:rPr>
            </w:pPr>
            <w:r w:rsidRPr="00A83075">
              <w:rPr>
                <w:rFonts w:cstheme="minorHAnsi"/>
                <w:b/>
                <w:bCs/>
                <w:sz w:val="20"/>
                <w:szCs w:val="20"/>
                <w:lang w:val="uk-UA"/>
              </w:rPr>
              <w:t>2. Practical experience in implementing quality and risk management systems.</w:t>
            </w:r>
          </w:p>
          <w:p w14:paraId="204EA3F4" w14:textId="77777777" w:rsidR="0076184E" w:rsidRPr="003538F8" w:rsidRDefault="00A83075" w:rsidP="00A83075">
            <w:pPr>
              <w:jc w:val="both"/>
              <w:rPr>
                <w:rFonts w:cstheme="minorHAnsi"/>
                <w:sz w:val="20"/>
                <w:szCs w:val="20"/>
                <w:lang w:val="en-US"/>
              </w:rPr>
            </w:pPr>
            <w:r w:rsidRPr="003538F8">
              <w:rPr>
                <w:rFonts w:cstheme="minorHAnsi"/>
                <w:sz w:val="20"/>
                <w:szCs w:val="20"/>
                <w:lang w:val="uk-UA"/>
              </w:rPr>
              <w:t>Proven experience in developing or improving laboratory risk registers, conducting internal audits, applying quality control strategies and tools (FMEA, control charts, uncertainty assessment, etc.).</w:t>
            </w:r>
          </w:p>
          <w:p w14:paraId="56C1ECF2" w14:textId="77777777" w:rsidR="00A83075" w:rsidRDefault="00A83075" w:rsidP="00A83075">
            <w:pPr>
              <w:jc w:val="both"/>
              <w:rPr>
                <w:rFonts w:cstheme="minorHAnsi"/>
                <w:b/>
                <w:bCs/>
                <w:sz w:val="20"/>
                <w:szCs w:val="20"/>
                <w:lang w:val="en-US"/>
              </w:rPr>
            </w:pPr>
          </w:p>
          <w:p w14:paraId="7BFBED0B" w14:textId="77777777" w:rsidR="003538F8" w:rsidRPr="003538F8" w:rsidRDefault="003538F8" w:rsidP="003538F8">
            <w:pPr>
              <w:jc w:val="both"/>
              <w:rPr>
                <w:rFonts w:cstheme="minorHAnsi"/>
                <w:b/>
                <w:bCs/>
                <w:sz w:val="20"/>
                <w:szCs w:val="20"/>
                <w:lang w:val="en-US"/>
              </w:rPr>
            </w:pPr>
            <w:r w:rsidRPr="003538F8">
              <w:rPr>
                <w:rFonts w:cstheme="minorHAnsi"/>
                <w:b/>
                <w:bCs/>
                <w:sz w:val="20"/>
                <w:szCs w:val="20"/>
                <w:lang w:val="en-US"/>
              </w:rPr>
              <w:t>3. Competence in conducting training and facilitation.</w:t>
            </w:r>
          </w:p>
          <w:p w14:paraId="0AC1B323" w14:textId="77777777" w:rsidR="003538F8" w:rsidRDefault="003538F8" w:rsidP="003538F8">
            <w:pPr>
              <w:jc w:val="both"/>
              <w:rPr>
                <w:rFonts w:cstheme="minorHAnsi"/>
                <w:sz w:val="20"/>
                <w:szCs w:val="20"/>
                <w:lang w:val="en-US"/>
              </w:rPr>
            </w:pPr>
            <w:r w:rsidRPr="003538F8">
              <w:rPr>
                <w:rFonts w:cstheme="minorHAnsi"/>
                <w:sz w:val="20"/>
                <w:szCs w:val="20"/>
                <w:lang w:val="en-US"/>
              </w:rPr>
              <w:t>Proven experience in conducting technical training or seminars for laboratory staff, ability to clearly explain complex concepts, organize practical sessions and ensure active participation of participants.</w:t>
            </w:r>
          </w:p>
          <w:p w14:paraId="0B2B1F4D" w14:textId="77777777" w:rsidR="00520850" w:rsidRDefault="00520850" w:rsidP="003538F8">
            <w:pPr>
              <w:jc w:val="both"/>
              <w:rPr>
                <w:rFonts w:cstheme="minorHAnsi"/>
                <w:sz w:val="20"/>
                <w:szCs w:val="20"/>
                <w:lang w:val="en-US"/>
              </w:rPr>
            </w:pPr>
          </w:p>
          <w:p w14:paraId="458806AB" w14:textId="77777777" w:rsidR="00520850" w:rsidRPr="003538F8" w:rsidRDefault="00520850" w:rsidP="003538F8">
            <w:pPr>
              <w:jc w:val="both"/>
              <w:rPr>
                <w:rFonts w:cstheme="minorHAnsi"/>
                <w:sz w:val="20"/>
                <w:szCs w:val="20"/>
                <w:lang w:val="en-US"/>
              </w:rPr>
            </w:pPr>
          </w:p>
          <w:p w14:paraId="44020E2C" w14:textId="77777777" w:rsidR="003538F8" w:rsidRPr="003538F8" w:rsidRDefault="003538F8" w:rsidP="003538F8">
            <w:pPr>
              <w:jc w:val="both"/>
              <w:rPr>
                <w:rFonts w:cstheme="minorHAnsi"/>
                <w:b/>
                <w:bCs/>
                <w:sz w:val="20"/>
                <w:szCs w:val="20"/>
                <w:lang w:val="en-US"/>
              </w:rPr>
            </w:pPr>
            <w:r w:rsidRPr="003538F8">
              <w:rPr>
                <w:rFonts w:cstheme="minorHAnsi"/>
                <w:b/>
                <w:bCs/>
                <w:sz w:val="20"/>
                <w:szCs w:val="20"/>
                <w:lang w:val="en-US"/>
              </w:rPr>
              <w:t>4. Communication and professional skills.</w:t>
            </w:r>
          </w:p>
          <w:p w14:paraId="7275A52F" w14:textId="1DE67A44" w:rsidR="00A83075" w:rsidRPr="003538F8" w:rsidRDefault="003538F8" w:rsidP="003538F8">
            <w:pPr>
              <w:jc w:val="both"/>
              <w:rPr>
                <w:rFonts w:cstheme="minorHAnsi"/>
                <w:sz w:val="20"/>
                <w:szCs w:val="20"/>
                <w:lang w:val="en-US"/>
              </w:rPr>
            </w:pPr>
            <w:r w:rsidRPr="003538F8">
              <w:rPr>
                <w:rFonts w:cstheme="minorHAnsi"/>
                <w:sz w:val="20"/>
                <w:szCs w:val="20"/>
                <w:lang w:val="en-US"/>
              </w:rPr>
              <w:lastRenderedPageBreak/>
              <w:t>Excellent communication skills (in Ukrainian and/or English as required), ability to develop quality training materials and ability to support teamwork and exchange of experiences between participants.</w:t>
            </w:r>
          </w:p>
        </w:tc>
      </w:tr>
      <w:tr w:rsidR="0076184E" w14:paraId="78CBA191" w14:textId="77777777" w:rsidTr="00FA7BE4">
        <w:tc>
          <w:tcPr>
            <w:tcW w:w="4957" w:type="dxa"/>
          </w:tcPr>
          <w:p w14:paraId="7D1CAD75" w14:textId="5A7BAD19" w:rsidR="0076184E" w:rsidRDefault="0076184E" w:rsidP="009060CF">
            <w:pPr>
              <w:jc w:val="both"/>
              <w:rPr>
                <w:rFonts w:cstheme="minorHAnsi"/>
                <w:b/>
                <w:bCs/>
                <w:sz w:val="20"/>
                <w:szCs w:val="20"/>
                <w:lang w:val="uk-UA"/>
              </w:rPr>
            </w:pPr>
            <w:r>
              <w:rPr>
                <w:rFonts w:cstheme="minorHAnsi"/>
                <w:b/>
                <w:bCs/>
                <w:sz w:val="20"/>
                <w:szCs w:val="20"/>
                <w:lang w:val="uk-UA"/>
              </w:rPr>
              <w:lastRenderedPageBreak/>
              <w:t>Мова семірану - українська</w:t>
            </w:r>
          </w:p>
        </w:tc>
        <w:tc>
          <w:tcPr>
            <w:tcW w:w="4677" w:type="dxa"/>
          </w:tcPr>
          <w:p w14:paraId="50376933" w14:textId="77777E23" w:rsidR="0076184E" w:rsidRPr="00850FB6" w:rsidRDefault="00850FB6" w:rsidP="00775322">
            <w:pPr>
              <w:jc w:val="both"/>
              <w:rPr>
                <w:rFonts w:cstheme="minorHAnsi"/>
                <w:b/>
                <w:bCs/>
                <w:sz w:val="20"/>
                <w:szCs w:val="20"/>
                <w:lang w:val="en-US"/>
              </w:rPr>
            </w:pPr>
            <w:r w:rsidRPr="00850FB6">
              <w:rPr>
                <w:rFonts w:cstheme="minorHAnsi"/>
                <w:b/>
                <w:bCs/>
                <w:sz w:val="20"/>
                <w:szCs w:val="20"/>
                <w:lang w:val="uk-UA"/>
              </w:rPr>
              <w:t xml:space="preserve">The language of the </w:t>
            </w:r>
            <w:r>
              <w:rPr>
                <w:rFonts w:cstheme="minorHAnsi"/>
                <w:b/>
                <w:bCs/>
                <w:sz w:val="20"/>
                <w:szCs w:val="20"/>
                <w:lang w:val="en-US"/>
              </w:rPr>
              <w:t>training</w:t>
            </w:r>
            <w:r w:rsidRPr="00850FB6">
              <w:rPr>
                <w:rFonts w:cstheme="minorHAnsi"/>
                <w:b/>
                <w:bCs/>
                <w:sz w:val="20"/>
                <w:szCs w:val="20"/>
                <w:lang w:val="uk-UA"/>
              </w:rPr>
              <w:t xml:space="preserve"> is Ukrainian</w:t>
            </w:r>
          </w:p>
        </w:tc>
      </w:tr>
    </w:tbl>
    <w:p w14:paraId="2FBE036A" w14:textId="77777777" w:rsidR="00953AED" w:rsidRPr="00953AED" w:rsidRDefault="00953AED" w:rsidP="00775322">
      <w:pPr>
        <w:spacing w:after="0"/>
        <w:rPr>
          <w:rFonts w:eastAsia="Times New Roman" w:cstheme="minorHAnsi"/>
          <w:color w:val="000000"/>
          <w:sz w:val="20"/>
          <w:szCs w:val="20"/>
          <w:lang w:val="uk-UA"/>
        </w:rPr>
      </w:pPr>
    </w:p>
    <w:p w14:paraId="4CBAE5E7" w14:textId="77777777" w:rsidR="005429B2" w:rsidRPr="00E16BBA" w:rsidRDefault="005429B2" w:rsidP="005429B2">
      <w:pPr>
        <w:pStyle w:val="ListParagraph"/>
        <w:numPr>
          <w:ilvl w:val="0"/>
          <w:numId w:val="1"/>
        </w:numPr>
        <w:spacing w:after="0" w:line="240" w:lineRule="auto"/>
        <w:rPr>
          <w:rFonts w:cstheme="minorHAnsi"/>
          <w:b/>
          <w:bCs/>
          <w:sz w:val="20"/>
          <w:szCs w:val="20"/>
        </w:rPr>
      </w:pPr>
      <w:r w:rsidRPr="00E16BBA">
        <w:rPr>
          <w:rFonts w:cstheme="minorHAnsi"/>
          <w:b/>
          <w:bCs/>
          <w:sz w:val="20"/>
          <w:szCs w:val="20"/>
        </w:rPr>
        <w:t>Критерії оцінки</w:t>
      </w:r>
      <w:r w:rsidRPr="00E16BBA">
        <w:rPr>
          <w:rFonts w:cstheme="minorHAnsi"/>
          <w:b/>
          <w:bCs/>
          <w:sz w:val="20"/>
          <w:szCs w:val="20"/>
          <w:lang w:val="uk-UA"/>
        </w:rPr>
        <w:t>/</w:t>
      </w:r>
      <w:r w:rsidRPr="00E16BBA">
        <w:rPr>
          <w:rFonts w:cstheme="minorHAnsi"/>
          <w:sz w:val="20"/>
          <w:szCs w:val="20"/>
        </w:rPr>
        <w:t xml:space="preserve"> </w:t>
      </w:r>
      <w:r w:rsidRPr="00E16BBA">
        <w:rPr>
          <w:rFonts w:cstheme="minorHAnsi"/>
          <w:b/>
          <w:bCs/>
          <w:sz w:val="20"/>
          <w:szCs w:val="20"/>
          <w:lang w:val="uk-UA"/>
        </w:rPr>
        <w:t>Evaluation criteria</w:t>
      </w:r>
    </w:p>
    <w:tbl>
      <w:tblPr>
        <w:tblStyle w:val="TableGrid"/>
        <w:tblW w:w="1020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96"/>
        <w:gridCol w:w="4111"/>
      </w:tblGrid>
      <w:tr w:rsidR="005429B2" w:rsidRPr="00E16BBA" w14:paraId="77FDEBA0" w14:textId="77777777" w:rsidTr="0076184E">
        <w:tc>
          <w:tcPr>
            <w:tcW w:w="6096" w:type="dxa"/>
            <w:shd w:val="clear" w:color="auto" w:fill="E7E6E6" w:themeFill="background2"/>
          </w:tcPr>
          <w:p w14:paraId="3912A469" w14:textId="77777777" w:rsidR="005429B2" w:rsidRPr="00E16BBA" w:rsidRDefault="005429B2" w:rsidP="00F73874">
            <w:pPr>
              <w:ind w:left="360"/>
              <w:rPr>
                <w:rFonts w:cstheme="minorHAnsi"/>
                <w:b/>
                <w:bCs/>
                <w:sz w:val="20"/>
                <w:szCs w:val="20"/>
              </w:rPr>
            </w:pPr>
            <w:r w:rsidRPr="00E16BBA">
              <w:rPr>
                <w:rFonts w:cstheme="minorHAnsi"/>
                <w:b/>
                <w:bCs/>
                <w:sz w:val="20"/>
                <w:szCs w:val="20"/>
                <w:lang w:val="uk-UA"/>
              </w:rPr>
              <w:t>Критерії/Сriteria</w:t>
            </w:r>
          </w:p>
          <w:p w14:paraId="1B3A33A7" w14:textId="77777777" w:rsidR="005429B2" w:rsidRPr="00E16BBA" w:rsidRDefault="005429B2" w:rsidP="00F73874">
            <w:pPr>
              <w:jc w:val="center"/>
              <w:rPr>
                <w:rFonts w:cstheme="minorHAnsi"/>
                <w:b/>
                <w:bCs/>
                <w:sz w:val="20"/>
                <w:szCs w:val="20"/>
                <w:lang w:val="ru-RU"/>
              </w:rPr>
            </w:pPr>
          </w:p>
        </w:tc>
        <w:tc>
          <w:tcPr>
            <w:tcW w:w="4111" w:type="dxa"/>
            <w:shd w:val="clear" w:color="auto" w:fill="E7E6E6" w:themeFill="background2"/>
          </w:tcPr>
          <w:p w14:paraId="22DC498A" w14:textId="77777777" w:rsidR="005429B2" w:rsidRPr="00E16BBA" w:rsidRDefault="005429B2" w:rsidP="00F73874">
            <w:pPr>
              <w:jc w:val="center"/>
              <w:rPr>
                <w:rFonts w:cstheme="minorHAnsi"/>
                <w:b/>
                <w:bCs/>
                <w:sz w:val="20"/>
                <w:szCs w:val="20"/>
                <w:lang w:val="ru-RU"/>
              </w:rPr>
            </w:pPr>
            <w:r w:rsidRPr="00E16BBA">
              <w:rPr>
                <w:rFonts w:cstheme="minorHAnsi"/>
                <w:b/>
                <w:bCs/>
                <w:sz w:val="20"/>
                <w:szCs w:val="20"/>
                <w:lang w:val="ru-RU"/>
              </w:rPr>
              <w:t>Умов</w:t>
            </w:r>
            <w:r w:rsidRPr="00E16BBA">
              <w:rPr>
                <w:rFonts w:cstheme="minorHAnsi"/>
                <w:b/>
                <w:bCs/>
                <w:sz w:val="20"/>
                <w:szCs w:val="20"/>
                <w:lang w:val="uk-UA"/>
              </w:rPr>
              <w:t>и</w:t>
            </w:r>
            <w:r w:rsidRPr="00E16BBA">
              <w:rPr>
                <w:rFonts w:cstheme="minorHAnsi"/>
                <w:b/>
                <w:bCs/>
                <w:sz w:val="20"/>
                <w:szCs w:val="20"/>
                <w:lang w:val="ru-RU"/>
              </w:rPr>
              <w:t xml:space="preserve"> компанії/Company term</w:t>
            </w:r>
          </w:p>
        </w:tc>
      </w:tr>
      <w:tr w:rsidR="005429B2" w:rsidRPr="00E16BBA" w14:paraId="49DC7A1A" w14:textId="77777777" w:rsidTr="0076184E">
        <w:tc>
          <w:tcPr>
            <w:tcW w:w="6096" w:type="dxa"/>
          </w:tcPr>
          <w:p w14:paraId="634557AD" w14:textId="77777777" w:rsidR="005429B2" w:rsidRPr="0002755D" w:rsidRDefault="005429B2" w:rsidP="00F73874">
            <w:pPr>
              <w:rPr>
                <w:rFonts w:cstheme="minorHAnsi"/>
                <w:sz w:val="20"/>
                <w:szCs w:val="20"/>
                <w:lang w:val="en-US"/>
              </w:rPr>
            </w:pPr>
            <w:r w:rsidRPr="00E16BBA">
              <w:rPr>
                <w:rFonts w:cstheme="minorHAnsi"/>
                <w:sz w:val="20"/>
                <w:szCs w:val="20"/>
                <w:lang w:val="en-US"/>
              </w:rPr>
              <w:t>Умови оплати (передплата % / пост оплата %)/Payment terms (prepayment % / post payment %)</w:t>
            </w:r>
          </w:p>
        </w:tc>
        <w:tc>
          <w:tcPr>
            <w:tcW w:w="4111" w:type="dxa"/>
          </w:tcPr>
          <w:p w14:paraId="7641801B" w14:textId="77777777" w:rsidR="005429B2" w:rsidRPr="00E16BBA" w:rsidRDefault="005429B2" w:rsidP="00F73874">
            <w:pPr>
              <w:rPr>
                <w:rFonts w:cstheme="minorHAnsi"/>
                <w:sz w:val="20"/>
                <w:szCs w:val="20"/>
              </w:rPr>
            </w:pPr>
          </w:p>
        </w:tc>
      </w:tr>
      <w:tr w:rsidR="00CD0D13" w:rsidRPr="00E16BBA" w14:paraId="47FCC5E8" w14:textId="77777777" w:rsidTr="00520850">
        <w:trPr>
          <w:trHeight w:val="373"/>
        </w:trPr>
        <w:tc>
          <w:tcPr>
            <w:tcW w:w="6096" w:type="dxa"/>
          </w:tcPr>
          <w:p w14:paraId="3DAD3FCD" w14:textId="77777777" w:rsidR="00CD0D13" w:rsidRPr="0002755D" w:rsidRDefault="00CD0D13" w:rsidP="00F97930">
            <w:pPr>
              <w:rPr>
                <w:rFonts w:cstheme="minorHAnsi"/>
                <w:sz w:val="20"/>
                <w:szCs w:val="20"/>
                <w:lang w:val="en-US"/>
              </w:rPr>
            </w:pPr>
            <w:r w:rsidRPr="0002755D">
              <w:rPr>
                <w:rFonts w:cstheme="minorHAnsi"/>
                <w:sz w:val="20"/>
                <w:szCs w:val="20"/>
                <w:lang w:val="en-US"/>
              </w:rPr>
              <w:t>Строки виконання/ Execution terms</w:t>
            </w:r>
          </w:p>
        </w:tc>
        <w:tc>
          <w:tcPr>
            <w:tcW w:w="4111" w:type="dxa"/>
          </w:tcPr>
          <w:p w14:paraId="3A757B02" w14:textId="77777777" w:rsidR="00CD0D13" w:rsidRPr="00E16BBA" w:rsidRDefault="00CD0D13" w:rsidP="00F97930">
            <w:pPr>
              <w:rPr>
                <w:rFonts w:cstheme="minorHAnsi"/>
                <w:sz w:val="20"/>
                <w:szCs w:val="20"/>
                <w:lang w:val="ru-RU"/>
              </w:rPr>
            </w:pPr>
          </w:p>
        </w:tc>
      </w:tr>
      <w:tr w:rsidR="00CD0D13" w:rsidRPr="00E16BBA" w14:paraId="34BCEB74" w14:textId="77777777" w:rsidTr="0076184E">
        <w:trPr>
          <w:trHeight w:val="530"/>
        </w:trPr>
        <w:tc>
          <w:tcPr>
            <w:tcW w:w="6096" w:type="dxa"/>
          </w:tcPr>
          <w:p w14:paraId="21D43131" w14:textId="4B99CC6A" w:rsidR="00CD0D13" w:rsidRPr="0002755D" w:rsidRDefault="00CD0D13" w:rsidP="4D1E45E2">
            <w:pPr>
              <w:rPr>
                <w:rFonts w:cstheme="minorHAnsi"/>
                <w:sz w:val="20"/>
                <w:szCs w:val="20"/>
                <w:lang w:val="en-US"/>
              </w:rPr>
            </w:pPr>
            <w:r w:rsidRPr="0002755D">
              <w:rPr>
                <w:rFonts w:cstheme="minorHAnsi"/>
                <w:sz w:val="20"/>
                <w:szCs w:val="20"/>
                <w:lang w:val="en-US"/>
              </w:rPr>
              <w:t>Надавач послуг повинен бути зареєстрований Провайдер БПР (прохання зазначити номер БПР або надати афільований/ авторизаційний/ партнерський лист)</w:t>
            </w:r>
          </w:p>
        </w:tc>
        <w:tc>
          <w:tcPr>
            <w:tcW w:w="4111" w:type="dxa"/>
          </w:tcPr>
          <w:p w14:paraId="646FEBFB" w14:textId="77777777" w:rsidR="00CD0D13" w:rsidRPr="00E16BBA" w:rsidRDefault="00CD0D13" w:rsidP="00F73874">
            <w:pPr>
              <w:rPr>
                <w:rFonts w:cstheme="minorHAnsi"/>
                <w:sz w:val="20"/>
                <w:szCs w:val="20"/>
                <w:lang w:val="ru-RU"/>
              </w:rPr>
            </w:pPr>
          </w:p>
        </w:tc>
      </w:tr>
      <w:tr w:rsidR="00CD0D13" w:rsidRPr="00E16BBA" w14:paraId="06536FF9" w14:textId="77777777" w:rsidTr="0076184E">
        <w:trPr>
          <w:trHeight w:val="530"/>
        </w:trPr>
        <w:tc>
          <w:tcPr>
            <w:tcW w:w="6096" w:type="dxa"/>
          </w:tcPr>
          <w:p w14:paraId="1A5EE4D7" w14:textId="17B8A07A" w:rsidR="00CD0D13" w:rsidRPr="0002755D" w:rsidRDefault="47A76EF7" w:rsidP="425A017F">
            <w:pPr>
              <w:rPr>
                <w:sz w:val="20"/>
                <w:szCs w:val="20"/>
                <w:lang w:val="en-US"/>
              </w:rPr>
            </w:pPr>
            <w:r w:rsidRPr="425A017F">
              <w:rPr>
                <w:sz w:val="20"/>
                <w:szCs w:val="20"/>
                <w:lang w:val="en-US"/>
              </w:rPr>
              <w:t>Надавач послуг</w:t>
            </w:r>
            <w:r w:rsidR="00CD0D13" w:rsidRPr="425A017F">
              <w:rPr>
                <w:sz w:val="20"/>
                <w:szCs w:val="20"/>
                <w:lang w:val="en-US"/>
              </w:rPr>
              <w:t xml:space="preserve"> повинен надати орієнтовну детальну Програму навчання / The participant must provide a preliminary detailed Training Program </w:t>
            </w:r>
          </w:p>
        </w:tc>
        <w:tc>
          <w:tcPr>
            <w:tcW w:w="4111" w:type="dxa"/>
          </w:tcPr>
          <w:p w14:paraId="457DCDF8" w14:textId="77777777" w:rsidR="00CD0D13" w:rsidRPr="00E16BBA" w:rsidRDefault="00CD0D13" w:rsidP="00F73874">
            <w:pPr>
              <w:rPr>
                <w:rFonts w:cstheme="minorHAnsi"/>
                <w:sz w:val="20"/>
                <w:szCs w:val="20"/>
                <w:lang w:val="ru-RU"/>
              </w:rPr>
            </w:pPr>
          </w:p>
        </w:tc>
      </w:tr>
      <w:tr w:rsidR="425A017F" w14:paraId="406A366B" w14:textId="77777777" w:rsidTr="0076184E">
        <w:trPr>
          <w:trHeight w:val="530"/>
        </w:trPr>
        <w:tc>
          <w:tcPr>
            <w:tcW w:w="6096" w:type="dxa"/>
          </w:tcPr>
          <w:p w14:paraId="5AFE2A69" w14:textId="16E9CB17" w:rsidR="22525906" w:rsidRDefault="22525906" w:rsidP="425A017F">
            <w:pPr>
              <w:rPr>
                <w:sz w:val="20"/>
                <w:szCs w:val="20"/>
                <w:lang w:val="en-US"/>
              </w:rPr>
            </w:pPr>
            <w:r w:rsidRPr="425A017F">
              <w:rPr>
                <w:sz w:val="20"/>
                <w:szCs w:val="20"/>
                <w:lang w:val="en-US"/>
              </w:rPr>
              <w:t>Надвач послуг має надати підтвердження компетентності тренерів /</w:t>
            </w:r>
            <w:r w:rsidR="076C0A6B" w:rsidRPr="425A017F">
              <w:rPr>
                <w:sz w:val="20"/>
                <w:szCs w:val="20"/>
                <w:lang w:val="en-US"/>
              </w:rPr>
              <w:t xml:space="preserve"> The service provider must confirm the competence of the trainers.</w:t>
            </w:r>
          </w:p>
        </w:tc>
        <w:tc>
          <w:tcPr>
            <w:tcW w:w="4111" w:type="dxa"/>
          </w:tcPr>
          <w:p w14:paraId="48CB21C1" w14:textId="6BA1A654" w:rsidR="425A017F" w:rsidRDefault="425A017F" w:rsidP="425A017F">
            <w:pPr>
              <w:rPr>
                <w:sz w:val="20"/>
                <w:szCs w:val="20"/>
                <w:lang w:val="ru-RU"/>
              </w:rPr>
            </w:pPr>
          </w:p>
        </w:tc>
      </w:tr>
    </w:tbl>
    <w:p w14:paraId="436EC0F5" w14:textId="77777777" w:rsidR="005429B2" w:rsidRPr="00E16BBA" w:rsidRDefault="005429B2" w:rsidP="005429B2">
      <w:pPr>
        <w:rPr>
          <w:rFonts w:cstheme="minorHAnsi"/>
          <w:b/>
          <w:bCs/>
          <w:sz w:val="20"/>
          <w:szCs w:val="20"/>
        </w:rPr>
      </w:pPr>
    </w:p>
    <w:p w14:paraId="0AED5125" w14:textId="77777777" w:rsidR="005429B2" w:rsidRPr="00E16BBA" w:rsidRDefault="005429B2" w:rsidP="005429B2">
      <w:pPr>
        <w:pStyle w:val="ListParagraph"/>
        <w:numPr>
          <w:ilvl w:val="0"/>
          <w:numId w:val="1"/>
        </w:numPr>
        <w:spacing w:after="0" w:line="240" w:lineRule="auto"/>
        <w:rPr>
          <w:rFonts w:cstheme="minorHAnsi"/>
          <w:b/>
          <w:bCs/>
          <w:color w:val="000000" w:themeColor="text1"/>
          <w:sz w:val="20"/>
          <w:szCs w:val="20"/>
        </w:rPr>
      </w:pPr>
      <w:r w:rsidRPr="00E16BBA">
        <w:rPr>
          <w:rFonts w:cstheme="minorHAnsi"/>
          <w:b/>
          <w:bCs/>
          <w:color w:val="000000" w:themeColor="text1"/>
          <w:sz w:val="20"/>
          <w:szCs w:val="20"/>
          <w:lang w:val="uk-UA"/>
        </w:rPr>
        <w:t>Коментарі</w:t>
      </w:r>
      <w:r w:rsidRPr="00E16BBA">
        <w:rPr>
          <w:rFonts w:cstheme="minorHAnsi"/>
          <w:b/>
          <w:bCs/>
          <w:color w:val="000000" w:themeColor="text1"/>
          <w:sz w:val="20"/>
          <w:szCs w:val="20"/>
          <w:lang w:val="en-US"/>
        </w:rPr>
        <w:t>/</w:t>
      </w:r>
      <w:r w:rsidRPr="00E16BBA">
        <w:rPr>
          <w:rFonts w:cstheme="minorHAnsi"/>
          <w:b/>
          <w:bCs/>
          <w:color w:val="000000" w:themeColor="text1"/>
          <w:sz w:val="20"/>
          <w:szCs w:val="20"/>
        </w:rPr>
        <w:t>Comment</w:t>
      </w:r>
      <w:r w:rsidRPr="00E16BBA">
        <w:rPr>
          <w:rFonts w:cstheme="minorHAnsi"/>
          <w:b/>
          <w:bCs/>
          <w:color w:val="000000" w:themeColor="text1"/>
          <w:sz w:val="20"/>
          <w:szCs w:val="20"/>
          <w:lang w:val="en-US"/>
        </w:rPr>
        <w:t>s</w:t>
      </w:r>
    </w:p>
    <w:tbl>
      <w:tblPr>
        <w:tblStyle w:val="TableGrid"/>
        <w:tblW w:w="10207" w:type="dxa"/>
        <w:tblInd w:w="-157" w:type="dxa"/>
        <w:tblLook w:val="04A0" w:firstRow="1" w:lastRow="0" w:firstColumn="1" w:lastColumn="0" w:noHBand="0" w:noVBand="1"/>
      </w:tblPr>
      <w:tblGrid>
        <w:gridCol w:w="10207"/>
      </w:tblGrid>
      <w:tr w:rsidR="005429B2" w:rsidRPr="00E16BBA" w14:paraId="691D9484" w14:textId="77777777" w:rsidTr="00F73874">
        <w:tc>
          <w:tcPr>
            <w:tcW w:w="10207" w:type="dxa"/>
            <w:tcBorders>
              <w:top w:val="single" w:sz="12" w:space="0" w:color="auto"/>
              <w:left w:val="single" w:sz="12" w:space="0" w:color="auto"/>
              <w:bottom w:val="single" w:sz="12" w:space="0" w:color="auto"/>
              <w:right w:val="single" w:sz="12" w:space="0" w:color="auto"/>
            </w:tcBorders>
          </w:tcPr>
          <w:p w14:paraId="4D4EBF9F" w14:textId="77777777" w:rsidR="005429B2" w:rsidRPr="00E16BBA" w:rsidRDefault="005429B2" w:rsidP="00F73874">
            <w:pPr>
              <w:rPr>
                <w:rFonts w:cstheme="minorHAnsi"/>
                <w:color w:val="000000" w:themeColor="text1"/>
                <w:sz w:val="20"/>
                <w:szCs w:val="20"/>
                <w:lang w:val="ru-RU"/>
              </w:rPr>
            </w:pPr>
          </w:p>
          <w:p w14:paraId="611A2607" w14:textId="77777777" w:rsidR="005429B2" w:rsidRPr="00E16BBA" w:rsidRDefault="005429B2" w:rsidP="00F73874">
            <w:pPr>
              <w:jc w:val="center"/>
              <w:rPr>
                <w:rFonts w:cstheme="minorHAnsi"/>
                <w:color w:val="000000" w:themeColor="text1"/>
                <w:sz w:val="20"/>
                <w:szCs w:val="20"/>
                <w:lang w:val="ru-RU"/>
              </w:rPr>
            </w:pPr>
          </w:p>
          <w:p w14:paraId="4331D0A1" w14:textId="77777777" w:rsidR="005429B2" w:rsidRPr="00E16BBA" w:rsidRDefault="005429B2" w:rsidP="00F73874">
            <w:pPr>
              <w:jc w:val="center"/>
              <w:rPr>
                <w:rFonts w:cstheme="minorHAnsi"/>
                <w:color w:val="000000" w:themeColor="text1"/>
                <w:sz w:val="20"/>
                <w:szCs w:val="20"/>
                <w:lang w:val="ru-RU"/>
              </w:rPr>
            </w:pPr>
          </w:p>
        </w:tc>
      </w:tr>
    </w:tbl>
    <w:p w14:paraId="2ED7789A" w14:textId="77777777" w:rsidR="005429B2" w:rsidRPr="00E16BBA" w:rsidRDefault="005429B2" w:rsidP="005429B2">
      <w:pPr>
        <w:rPr>
          <w:rFonts w:cstheme="minorHAnsi"/>
          <w:b/>
          <w:bCs/>
          <w:color w:val="000000" w:themeColor="text1"/>
          <w:sz w:val="20"/>
          <w:szCs w:val="20"/>
        </w:rPr>
      </w:pPr>
    </w:p>
    <w:p w14:paraId="1B3A6DF6" w14:textId="77777777" w:rsidR="005429B2" w:rsidRPr="00E16BBA" w:rsidRDefault="005429B2" w:rsidP="005429B2">
      <w:pPr>
        <w:rPr>
          <w:rFonts w:cstheme="minorHAnsi"/>
          <w:b/>
          <w:bCs/>
          <w:color w:val="000000" w:themeColor="text1"/>
          <w:sz w:val="20"/>
          <w:szCs w:val="20"/>
        </w:rPr>
      </w:pPr>
      <w:r w:rsidRPr="00E16BBA">
        <w:rPr>
          <w:rFonts w:cstheme="minorHAnsi"/>
          <w:b/>
          <w:bCs/>
          <w:color w:val="000000" w:themeColor="text1"/>
          <w:sz w:val="20"/>
          <w:szCs w:val="20"/>
        </w:rPr>
        <w:t>The authorized representative of the company</w:t>
      </w:r>
      <w:r w:rsidRPr="00E16BBA">
        <w:rPr>
          <w:rFonts w:cstheme="minorHAnsi"/>
          <w:b/>
          <w:bCs/>
          <w:color w:val="000000" w:themeColor="text1"/>
          <w:sz w:val="20"/>
          <w:szCs w:val="20"/>
          <w:lang w:val="uk-UA"/>
        </w:rPr>
        <w:t>/ Ім’я та посада уповноваженого представника</w:t>
      </w:r>
      <w:r w:rsidRPr="00E16BBA">
        <w:rPr>
          <w:rFonts w:cstheme="minorHAnsi"/>
          <w:b/>
          <w:bCs/>
          <w:color w:val="000000" w:themeColor="text1"/>
          <w:sz w:val="20"/>
          <w:szCs w:val="20"/>
        </w:rPr>
        <w:t xml:space="preserve">: </w:t>
      </w:r>
    </w:p>
    <w:p w14:paraId="2B992AD2" w14:textId="77777777" w:rsidR="005429B2" w:rsidRPr="00E16BBA" w:rsidRDefault="005429B2" w:rsidP="005429B2">
      <w:pPr>
        <w:rPr>
          <w:rFonts w:cstheme="minorHAnsi"/>
          <w:b/>
          <w:color w:val="000000" w:themeColor="text1"/>
          <w:sz w:val="20"/>
          <w:szCs w:val="20"/>
          <w:lang w:val="ru-RU"/>
        </w:rPr>
      </w:pPr>
      <w:r w:rsidRPr="00E16BBA">
        <w:rPr>
          <w:rFonts w:cstheme="minorHAnsi"/>
          <w:color w:val="000000" w:themeColor="text1"/>
          <w:sz w:val="20"/>
          <w:szCs w:val="20"/>
        </w:rPr>
        <w:t>_____________________________________________ (signature, date)</w:t>
      </w:r>
    </w:p>
    <w:p w14:paraId="4F986FA7" w14:textId="77777777" w:rsidR="00873F15" w:rsidRPr="00A66224" w:rsidRDefault="00873F15" w:rsidP="00A74936">
      <w:pPr>
        <w:rPr>
          <w:rFonts w:cstheme="minorHAnsi"/>
          <w:b/>
          <w:bCs/>
          <w:sz w:val="20"/>
          <w:szCs w:val="20"/>
          <w:lang w:val="uk-UA"/>
        </w:rPr>
      </w:pPr>
    </w:p>
    <w:sectPr w:rsidR="00873F15" w:rsidRPr="00A66224" w:rsidSect="00921E93">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0048" w14:textId="77777777" w:rsidR="00B311FD" w:rsidRDefault="00B311FD" w:rsidP="00836D71">
      <w:pPr>
        <w:spacing w:after="0" w:line="240" w:lineRule="auto"/>
      </w:pPr>
      <w:r>
        <w:separator/>
      </w:r>
    </w:p>
  </w:endnote>
  <w:endnote w:type="continuationSeparator" w:id="0">
    <w:p w14:paraId="741EAC2A" w14:textId="77777777" w:rsidR="00B311FD" w:rsidRDefault="00B311FD" w:rsidP="0083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492A" w14:textId="77777777" w:rsidR="00B311FD" w:rsidRDefault="00B311FD" w:rsidP="00836D71">
      <w:pPr>
        <w:spacing w:after="0" w:line="240" w:lineRule="auto"/>
      </w:pPr>
      <w:r>
        <w:separator/>
      </w:r>
    </w:p>
  </w:footnote>
  <w:footnote w:type="continuationSeparator" w:id="0">
    <w:p w14:paraId="71484DA2" w14:textId="77777777" w:rsidR="00B311FD" w:rsidRDefault="00B311FD" w:rsidP="00836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0810" w14:textId="77777777" w:rsidR="000B73CE" w:rsidRDefault="000B73CE">
    <w:pPr>
      <w:pStyle w:val="Header"/>
    </w:pPr>
    <w:r>
      <w:ptab w:relativeTo="indent"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DACB" w14:textId="2CB94505" w:rsidR="00921E93" w:rsidRDefault="00921E93">
    <w:pPr>
      <w:pStyle w:val="Header"/>
    </w:pPr>
    <w:r>
      <w:ptab w:relativeTo="indent"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0BB"/>
    <w:multiLevelType w:val="multilevel"/>
    <w:tmpl w:val="EBE8AA1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03870"/>
    <w:multiLevelType w:val="hybridMultilevel"/>
    <w:tmpl w:val="C91CF04A"/>
    <w:lvl w:ilvl="0" w:tplc="67E2C3B6">
      <w:start w:val="6"/>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6F3744"/>
    <w:multiLevelType w:val="hybridMultilevel"/>
    <w:tmpl w:val="53C661FE"/>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06B649A"/>
    <w:multiLevelType w:val="hybridMultilevel"/>
    <w:tmpl w:val="7526C3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91C440C"/>
    <w:multiLevelType w:val="hybridMultilevel"/>
    <w:tmpl w:val="BB6EE58A"/>
    <w:lvl w:ilvl="0" w:tplc="040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4F3C30"/>
    <w:multiLevelType w:val="hybridMultilevel"/>
    <w:tmpl w:val="E4C888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0D4E8F"/>
    <w:multiLevelType w:val="hybridMultilevel"/>
    <w:tmpl w:val="1504A19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3FA56D13"/>
    <w:multiLevelType w:val="hybridMultilevel"/>
    <w:tmpl w:val="53C661FE"/>
    <w:lvl w:ilvl="0" w:tplc="F7F03A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564BD6"/>
    <w:multiLevelType w:val="hybridMultilevel"/>
    <w:tmpl w:val="13C236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F01194E"/>
    <w:multiLevelType w:val="hybridMultilevel"/>
    <w:tmpl w:val="D72433EA"/>
    <w:lvl w:ilvl="0" w:tplc="039240B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F704E9"/>
    <w:multiLevelType w:val="multilevel"/>
    <w:tmpl w:val="9FDEB3A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15EE5"/>
    <w:multiLevelType w:val="hybridMultilevel"/>
    <w:tmpl w:val="77A4390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144348983">
    <w:abstractNumId w:val="7"/>
  </w:num>
  <w:num w:numId="2" w16cid:durableId="1210802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8639211">
    <w:abstractNumId w:val="4"/>
  </w:num>
  <w:num w:numId="4" w16cid:durableId="1915120675">
    <w:abstractNumId w:val="9"/>
  </w:num>
  <w:num w:numId="5" w16cid:durableId="1237203166">
    <w:abstractNumId w:val="5"/>
  </w:num>
  <w:num w:numId="6" w16cid:durableId="1156067617">
    <w:abstractNumId w:val="2"/>
  </w:num>
  <w:num w:numId="7" w16cid:durableId="1674645531">
    <w:abstractNumId w:val="0"/>
  </w:num>
  <w:num w:numId="8" w16cid:durableId="273098052">
    <w:abstractNumId w:val="10"/>
  </w:num>
  <w:num w:numId="9" w16cid:durableId="1067529553">
    <w:abstractNumId w:val="3"/>
  </w:num>
  <w:num w:numId="10" w16cid:durableId="1918198844">
    <w:abstractNumId w:val="6"/>
  </w:num>
  <w:num w:numId="11" w16cid:durableId="2009476670">
    <w:abstractNumId w:val="8"/>
  </w:num>
  <w:num w:numId="12" w16cid:durableId="2138865156">
    <w:abstractNumId w:val="1"/>
  </w:num>
  <w:num w:numId="13" w16cid:durableId="1473316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1E"/>
    <w:rsid w:val="00000039"/>
    <w:rsid w:val="00012089"/>
    <w:rsid w:val="0002314D"/>
    <w:rsid w:val="0002755D"/>
    <w:rsid w:val="00030251"/>
    <w:rsid w:val="000405C5"/>
    <w:rsid w:val="00051A29"/>
    <w:rsid w:val="000761EA"/>
    <w:rsid w:val="00083C36"/>
    <w:rsid w:val="00090472"/>
    <w:rsid w:val="0009386A"/>
    <w:rsid w:val="000A3991"/>
    <w:rsid w:val="000B72EF"/>
    <w:rsid w:val="000B73CE"/>
    <w:rsid w:val="000C44ED"/>
    <w:rsid w:val="000E0835"/>
    <w:rsid w:val="0011500D"/>
    <w:rsid w:val="00127E98"/>
    <w:rsid w:val="00131119"/>
    <w:rsid w:val="00136FC2"/>
    <w:rsid w:val="00143093"/>
    <w:rsid w:val="001474AB"/>
    <w:rsid w:val="00191B91"/>
    <w:rsid w:val="001A1EA1"/>
    <w:rsid w:val="001A22CC"/>
    <w:rsid w:val="001A3D5E"/>
    <w:rsid w:val="001C091E"/>
    <w:rsid w:val="001C3CC2"/>
    <w:rsid w:val="001D7A78"/>
    <w:rsid w:val="001E376F"/>
    <w:rsid w:val="00200CE4"/>
    <w:rsid w:val="002050E0"/>
    <w:rsid w:val="00232BC6"/>
    <w:rsid w:val="00263A78"/>
    <w:rsid w:val="0028068E"/>
    <w:rsid w:val="002A6932"/>
    <w:rsid w:val="002B1DDD"/>
    <w:rsid w:val="002B45F4"/>
    <w:rsid w:val="002C7BB1"/>
    <w:rsid w:val="002D5323"/>
    <w:rsid w:val="002F17A3"/>
    <w:rsid w:val="002F3FEA"/>
    <w:rsid w:val="0030149F"/>
    <w:rsid w:val="00315962"/>
    <w:rsid w:val="00330024"/>
    <w:rsid w:val="00332A5A"/>
    <w:rsid w:val="003512A9"/>
    <w:rsid w:val="003538F8"/>
    <w:rsid w:val="003651CA"/>
    <w:rsid w:val="003836FA"/>
    <w:rsid w:val="003B00BE"/>
    <w:rsid w:val="003B40AD"/>
    <w:rsid w:val="003B4FD3"/>
    <w:rsid w:val="003B57FF"/>
    <w:rsid w:val="003D2755"/>
    <w:rsid w:val="003D3199"/>
    <w:rsid w:val="003D7547"/>
    <w:rsid w:val="003E5B76"/>
    <w:rsid w:val="003F3A94"/>
    <w:rsid w:val="00402880"/>
    <w:rsid w:val="00407035"/>
    <w:rsid w:val="00420C6A"/>
    <w:rsid w:val="004346BC"/>
    <w:rsid w:val="00447020"/>
    <w:rsid w:val="004572A1"/>
    <w:rsid w:val="00460316"/>
    <w:rsid w:val="00461672"/>
    <w:rsid w:val="00463BE9"/>
    <w:rsid w:val="0048741F"/>
    <w:rsid w:val="004935B3"/>
    <w:rsid w:val="004A07CB"/>
    <w:rsid w:val="004B50FD"/>
    <w:rsid w:val="004B6217"/>
    <w:rsid w:val="004B7657"/>
    <w:rsid w:val="004D101E"/>
    <w:rsid w:val="004E1365"/>
    <w:rsid w:val="00517B5E"/>
    <w:rsid w:val="00520850"/>
    <w:rsid w:val="005429B2"/>
    <w:rsid w:val="0055716E"/>
    <w:rsid w:val="005A1A33"/>
    <w:rsid w:val="005A2BE0"/>
    <w:rsid w:val="005A5A28"/>
    <w:rsid w:val="005C42AB"/>
    <w:rsid w:val="005C619E"/>
    <w:rsid w:val="005C6B32"/>
    <w:rsid w:val="005C7702"/>
    <w:rsid w:val="005C7E32"/>
    <w:rsid w:val="00600F20"/>
    <w:rsid w:val="006030E7"/>
    <w:rsid w:val="00613D7A"/>
    <w:rsid w:val="0065483B"/>
    <w:rsid w:val="00654870"/>
    <w:rsid w:val="006778DB"/>
    <w:rsid w:val="006920B5"/>
    <w:rsid w:val="006C2EB8"/>
    <w:rsid w:val="006C6410"/>
    <w:rsid w:val="006F6BD5"/>
    <w:rsid w:val="00707BE7"/>
    <w:rsid w:val="00710E2E"/>
    <w:rsid w:val="00725C96"/>
    <w:rsid w:val="007352FD"/>
    <w:rsid w:val="007378C8"/>
    <w:rsid w:val="0076184E"/>
    <w:rsid w:val="007651CD"/>
    <w:rsid w:val="007724F1"/>
    <w:rsid w:val="00775322"/>
    <w:rsid w:val="007919A2"/>
    <w:rsid w:val="0079339C"/>
    <w:rsid w:val="00797E45"/>
    <w:rsid w:val="007B6671"/>
    <w:rsid w:val="007C27DA"/>
    <w:rsid w:val="007C3D91"/>
    <w:rsid w:val="007C70A9"/>
    <w:rsid w:val="007E7E36"/>
    <w:rsid w:val="007F1C8A"/>
    <w:rsid w:val="007F32AB"/>
    <w:rsid w:val="008120E4"/>
    <w:rsid w:val="00832256"/>
    <w:rsid w:val="008350F8"/>
    <w:rsid w:val="00836D71"/>
    <w:rsid w:val="00837FA5"/>
    <w:rsid w:val="00847F80"/>
    <w:rsid w:val="00850FB6"/>
    <w:rsid w:val="00873F15"/>
    <w:rsid w:val="0088403D"/>
    <w:rsid w:val="008A44A4"/>
    <w:rsid w:val="008B2C1F"/>
    <w:rsid w:val="008B5B9E"/>
    <w:rsid w:val="008C1BE1"/>
    <w:rsid w:val="008C5402"/>
    <w:rsid w:val="008E0B3E"/>
    <w:rsid w:val="00900108"/>
    <w:rsid w:val="009060CF"/>
    <w:rsid w:val="00915513"/>
    <w:rsid w:val="00921E93"/>
    <w:rsid w:val="009230DE"/>
    <w:rsid w:val="009370C2"/>
    <w:rsid w:val="00942D7D"/>
    <w:rsid w:val="0094367D"/>
    <w:rsid w:val="009504AF"/>
    <w:rsid w:val="00952E16"/>
    <w:rsid w:val="00953AED"/>
    <w:rsid w:val="0097335C"/>
    <w:rsid w:val="00973D41"/>
    <w:rsid w:val="00981190"/>
    <w:rsid w:val="009B7257"/>
    <w:rsid w:val="009D6283"/>
    <w:rsid w:val="009E3301"/>
    <w:rsid w:val="009E6046"/>
    <w:rsid w:val="009F336A"/>
    <w:rsid w:val="00A02041"/>
    <w:rsid w:val="00A207FD"/>
    <w:rsid w:val="00A363A2"/>
    <w:rsid w:val="00A410B8"/>
    <w:rsid w:val="00A55119"/>
    <w:rsid w:val="00A66224"/>
    <w:rsid w:val="00A74936"/>
    <w:rsid w:val="00A83075"/>
    <w:rsid w:val="00A85965"/>
    <w:rsid w:val="00A93270"/>
    <w:rsid w:val="00A935AE"/>
    <w:rsid w:val="00A95D29"/>
    <w:rsid w:val="00AC5D6B"/>
    <w:rsid w:val="00AD738E"/>
    <w:rsid w:val="00AE547F"/>
    <w:rsid w:val="00AF2A1E"/>
    <w:rsid w:val="00AF577A"/>
    <w:rsid w:val="00B17D83"/>
    <w:rsid w:val="00B311FD"/>
    <w:rsid w:val="00B610CC"/>
    <w:rsid w:val="00B70267"/>
    <w:rsid w:val="00B7641E"/>
    <w:rsid w:val="00B822BA"/>
    <w:rsid w:val="00B93769"/>
    <w:rsid w:val="00C01F26"/>
    <w:rsid w:val="00C03059"/>
    <w:rsid w:val="00C075CB"/>
    <w:rsid w:val="00C3309B"/>
    <w:rsid w:val="00C37936"/>
    <w:rsid w:val="00C64863"/>
    <w:rsid w:val="00C77B39"/>
    <w:rsid w:val="00C920CF"/>
    <w:rsid w:val="00C92AA8"/>
    <w:rsid w:val="00C940E7"/>
    <w:rsid w:val="00CD0D13"/>
    <w:rsid w:val="00CD53D2"/>
    <w:rsid w:val="00CD6C92"/>
    <w:rsid w:val="00CE0303"/>
    <w:rsid w:val="00D128FE"/>
    <w:rsid w:val="00D236D3"/>
    <w:rsid w:val="00D67DEA"/>
    <w:rsid w:val="00D73A9C"/>
    <w:rsid w:val="00D946A3"/>
    <w:rsid w:val="00D9633B"/>
    <w:rsid w:val="00DA02F6"/>
    <w:rsid w:val="00DA2B4D"/>
    <w:rsid w:val="00DA4970"/>
    <w:rsid w:val="00DE27D8"/>
    <w:rsid w:val="00DF3086"/>
    <w:rsid w:val="00E16BBA"/>
    <w:rsid w:val="00E4749E"/>
    <w:rsid w:val="00E76FC4"/>
    <w:rsid w:val="00E772E7"/>
    <w:rsid w:val="00E86E5E"/>
    <w:rsid w:val="00E9243D"/>
    <w:rsid w:val="00E92A9A"/>
    <w:rsid w:val="00E963E0"/>
    <w:rsid w:val="00EA2200"/>
    <w:rsid w:val="00EB554A"/>
    <w:rsid w:val="00EF3214"/>
    <w:rsid w:val="00F00CE9"/>
    <w:rsid w:val="00F102C2"/>
    <w:rsid w:val="00F20F21"/>
    <w:rsid w:val="00F26A72"/>
    <w:rsid w:val="00F34A59"/>
    <w:rsid w:val="00F47BAB"/>
    <w:rsid w:val="00F5780C"/>
    <w:rsid w:val="00F646E2"/>
    <w:rsid w:val="00F75035"/>
    <w:rsid w:val="00F87878"/>
    <w:rsid w:val="00F91C74"/>
    <w:rsid w:val="00FA7BE4"/>
    <w:rsid w:val="00FB1B79"/>
    <w:rsid w:val="00FB2C99"/>
    <w:rsid w:val="00FC30B0"/>
    <w:rsid w:val="00FE5326"/>
    <w:rsid w:val="00FF1C17"/>
    <w:rsid w:val="01A0CACF"/>
    <w:rsid w:val="01D582B6"/>
    <w:rsid w:val="04BE04DF"/>
    <w:rsid w:val="05511D69"/>
    <w:rsid w:val="06ED713B"/>
    <w:rsid w:val="073E13AF"/>
    <w:rsid w:val="076C0A6B"/>
    <w:rsid w:val="0934850E"/>
    <w:rsid w:val="09C4C6A2"/>
    <w:rsid w:val="0AAE54B9"/>
    <w:rsid w:val="0D72CB9A"/>
    <w:rsid w:val="0D926BCA"/>
    <w:rsid w:val="0E390D9C"/>
    <w:rsid w:val="0F288E32"/>
    <w:rsid w:val="0F61DC9B"/>
    <w:rsid w:val="0FBE1544"/>
    <w:rsid w:val="0FF9D996"/>
    <w:rsid w:val="11676BD3"/>
    <w:rsid w:val="1591C16C"/>
    <w:rsid w:val="16F9C775"/>
    <w:rsid w:val="175DD48C"/>
    <w:rsid w:val="17EFD11F"/>
    <w:rsid w:val="1972F6ED"/>
    <w:rsid w:val="1A8A26FE"/>
    <w:rsid w:val="1B976482"/>
    <w:rsid w:val="1BB0C369"/>
    <w:rsid w:val="1DD8EAF6"/>
    <w:rsid w:val="1E209B4F"/>
    <w:rsid w:val="1E4F96C0"/>
    <w:rsid w:val="1E51B553"/>
    <w:rsid w:val="1ED67C68"/>
    <w:rsid w:val="1EF46886"/>
    <w:rsid w:val="1F79E550"/>
    <w:rsid w:val="1FD1A69F"/>
    <w:rsid w:val="20304825"/>
    <w:rsid w:val="22525906"/>
    <w:rsid w:val="22697A7A"/>
    <w:rsid w:val="2340D52C"/>
    <w:rsid w:val="23488253"/>
    <w:rsid w:val="255CEE4C"/>
    <w:rsid w:val="26044E11"/>
    <w:rsid w:val="264F4041"/>
    <w:rsid w:val="275F9018"/>
    <w:rsid w:val="278FDE01"/>
    <w:rsid w:val="290AD19F"/>
    <w:rsid w:val="2A3D1AAF"/>
    <w:rsid w:val="2A413838"/>
    <w:rsid w:val="2AE96507"/>
    <w:rsid w:val="2BED103A"/>
    <w:rsid w:val="2ED19748"/>
    <w:rsid w:val="2FD6FC9F"/>
    <w:rsid w:val="316EBAB0"/>
    <w:rsid w:val="31752C46"/>
    <w:rsid w:val="3270BA80"/>
    <w:rsid w:val="37AB97AB"/>
    <w:rsid w:val="390337AE"/>
    <w:rsid w:val="3BF9BE00"/>
    <w:rsid w:val="3CDA2A89"/>
    <w:rsid w:val="3D981340"/>
    <w:rsid w:val="3DD98895"/>
    <w:rsid w:val="3ED461DD"/>
    <w:rsid w:val="3F1F186F"/>
    <w:rsid w:val="418F8613"/>
    <w:rsid w:val="425A017F"/>
    <w:rsid w:val="441E2B02"/>
    <w:rsid w:val="46E36B5D"/>
    <w:rsid w:val="4799D1F6"/>
    <w:rsid w:val="47A76EF7"/>
    <w:rsid w:val="47CEC381"/>
    <w:rsid w:val="490DD59A"/>
    <w:rsid w:val="4AADFB4F"/>
    <w:rsid w:val="4C3228A6"/>
    <w:rsid w:val="4C3B6AD7"/>
    <w:rsid w:val="4D1E45E2"/>
    <w:rsid w:val="4E428F44"/>
    <w:rsid w:val="4F52BB3E"/>
    <w:rsid w:val="51F393D8"/>
    <w:rsid w:val="53400266"/>
    <w:rsid w:val="5376A4A1"/>
    <w:rsid w:val="53E1D6DB"/>
    <w:rsid w:val="53E93AB0"/>
    <w:rsid w:val="5CB726F8"/>
    <w:rsid w:val="5EFF23F5"/>
    <w:rsid w:val="5F7C1576"/>
    <w:rsid w:val="60E8B429"/>
    <w:rsid w:val="64558EA8"/>
    <w:rsid w:val="667B788D"/>
    <w:rsid w:val="6685953E"/>
    <w:rsid w:val="6CC8A5C3"/>
    <w:rsid w:val="6D01E8F5"/>
    <w:rsid w:val="6D791FAB"/>
    <w:rsid w:val="6EBAEF6E"/>
    <w:rsid w:val="6FEBD4D5"/>
    <w:rsid w:val="71165108"/>
    <w:rsid w:val="712D8158"/>
    <w:rsid w:val="719AA7C9"/>
    <w:rsid w:val="71A9B0D8"/>
    <w:rsid w:val="721441F8"/>
    <w:rsid w:val="72EB96B8"/>
    <w:rsid w:val="755A648D"/>
    <w:rsid w:val="75753D0C"/>
    <w:rsid w:val="7633528A"/>
    <w:rsid w:val="7707B242"/>
    <w:rsid w:val="787C8A41"/>
    <w:rsid w:val="79E7DA4C"/>
    <w:rsid w:val="7BA44EFF"/>
    <w:rsid w:val="7EEC7AF6"/>
    <w:rsid w:val="7EFAB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DD28F"/>
  <w15:chartTrackingRefBased/>
  <w15:docId w15:val="{88A2051E-5D89-4589-9302-47AB52AB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09C4C6A2"/>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73F15"/>
    <w:pPr>
      <w:spacing w:after="200" w:line="276" w:lineRule="auto"/>
      <w:ind w:left="720"/>
      <w:contextualSpacing/>
    </w:pPr>
    <w:rPr>
      <w:lang w:val="ru-RU"/>
    </w:rPr>
  </w:style>
  <w:style w:type="character" w:customStyle="1" w:styleId="ListParagraphChar">
    <w:name w:val="List Paragraph Char"/>
    <w:link w:val="ListParagraph"/>
    <w:uiPriority w:val="34"/>
    <w:locked/>
    <w:rsid w:val="00873F15"/>
    <w:rPr>
      <w:lang w:val="ru-RU"/>
    </w:rPr>
  </w:style>
  <w:style w:type="paragraph" w:styleId="CommentText">
    <w:name w:val="annotation text"/>
    <w:basedOn w:val="Normal"/>
    <w:link w:val="CommentTextChar"/>
    <w:uiPriority w:val="99"/>
    <w:unhideWhenUsed/>
    <w:rsid w:val="00E963E0"/>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963E0"/>
    <w:rPr>
      <w:rFonts w:ascii="Calibri" w:eastAsia="Calibri" w:hAnsi="Calibri" w:cs="Times New Roman"/>
      <w:sz w:val="20"/>
      <w:szCs w:val="20"/>
      <w:lang w:val="en-US"/>
    </w:rPr>
  </w:style>
  <w:style w:type="character" w:styleId="CommentReference">
    <w:name w:val="annotation reference"/>
    <w:uiPriority w:val="99"/>
    <w:semiHidden/>
    <w:unhideWhenUsed/>
    <w:rsid w:val="00E963E0"/>
    <w:rPr>
      <w:sz w:val="16"/>
      <w:szCs w:val="16"/>
    </w:rPr>
  </w:style>
  <w:style w:type="paragraph" w:customStyle="1" w:styleId="TableParagraph">
    <w:name w:val="Table Paragraph"/>
    <w:basedOn w:val="Normal"/>
    <w:uiPriority w:val="1"/>
    <w:qFormat/>
    <w:rsid w:val="00837FA5"/>
    <w:pPr>
      <w:widowControl w:val="0"/>
      <w:autoSpaceDE w:val="0"/>
      <w:autoSpaceDN w:val="0"/>
      <w:spacing w:after="0" w:line="240" w:lineRule="auto"/>
    </w:pPr>
    <w:rPr>
      <w:rFonts w:ascii="Calibri" w:eastAsia="Calibri" w:hAnsi="Calibri" w:cs="Calibri"/>
      <w:lang w:val="uk-UA"/>
    </w:rPr>
  </w:style>
  <w:style w:type="character" w:styleId="Mention">
    <w:name w:val="Mention"/>
    <w:basedOn w:val="DefaultParagraphFont"/>
    <w:uiPriority w:val="99"/>
    <w:unhideWhenUsed/>
    <w:rsid w:val="00837FA5"/>
    <w:rPr>
      <w:color w:val="2B579A"/>
      <w:shd w:val="clear" w:color="auto" w:fill="E1DFDD"/>
    </w:rPr>
  </w:style>
  <w:style w:type="character" w:styleId="Hyperlink">
    <w:name w:val="Hyperlink"/>
    <w:basedOn w:val="DefaultParagraphFont"/>
    <w:uiPriority w:val="99"/>
    <w:unhideWhenUsed/>
    <w:rsid w:val="006920B5"/>
    <w:rPr>
      <w:color w:val="0563C1" w:themeColor="hyperlink"/>
      <w:u w:val="single"/>
    </w:rPr>
  </w:style>
  <w:style w:type="character" w:styleId="UnresolvedMention">
    <w:name w:val="Unresolved Mention"/>
    <w:basedOn w:val="DefaultParagraphFont"/>
    <w:uiPriority w:val="99"/>
    <w:semiHidden/>
    <w:unhideWhenUsed/>
    <w:rsid w:val="006920B5"/>
    <w:rPr>
      <w:color w:val="605E5C"/>
      <w:shd w:val="clear" w:color="auto" w:fill="E1DFDD"/>
    </w:rPr>
  </w:style>
  <w:style w:type="character" w:customStyle="1" w:styleId="hps">
    <w:name w:val="hps"/>
    <w:rsid w:val="007C70A9"/>
  </w:style>
  <w:style w:type="paragraph" w:styleId="Header">
    <w:name w:val="header"/>
    <w:basedOn w:val="Normal"/>
    <w:link w:val="HeaderChar"/>
    <w:uiPriority w:val="99"/>
    <w:unhideWhenUsed/>
    <w:rsid w:val="00836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D71"/>
  </w:style>
  <w:style w:type="paragraph" w:styleId="Footer">
    <w:name w:val="footer"/>
    <w:basedOn w:val="Normal"/>
    <w:link w:val="FooterChar"/>
    <w:uiPriority w:val="99"/>
    <w:unhideWhenUsed/>
    <w:rsid w:val="00836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D71"/>
  </w:style>
  <w:style w:type="paragraph" w:styleId="NormalWeb">
    <w:name w:val="Normal (Web)"/>
    <w:basedOn w:val="Normal"/>
    <w:uiPriority w:val="99"/>
    <w:semiHidden/>
    <w:unhideWhenUsed/>
    <w:rsid w:val="003300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xcontentpasted0">
    <w:name w:val="x_contentpasted0"/>
    <w:basedOn w:val="DefaultParagraphFont"/>
    <w:rsid w:val="00330024"/>
  </w:style>
  <w:style w:type="paragraph" w:customStyle="1" w:styleId="TableContents">
    <w:name w:val="Table Contents"/>
    <w:basedOn w:val="Normal"/>
    <w:uiPriority w:val="99"/>
    <w:rsid w:val="00330024"/>
    <w:pPr>
      <w:widowControl w:val="0"/>
      <w:suppressLineNumbers/>
      <w:suppressAutoHyphens/>
      <w:autoSpaceDN w:val="0"/>
      <w:spacing w:after="0" w:line="240" w:lineRule="auto"/>
    </w:pPr>
    <w:rPr>
      <w:rFonts w:ascii="Liberation Serif" w:eastAsia="Segoe UI" w:hAnsi="Liberation Serif" w:cs="Tahoma"/>
      <w:color w:val="000000"/>
      <w:kern w:val="3"/>
      <w:sz w:val="24"/>
      <w:szCs w:val="24"/>
      <w:lang w:val="uk-UA" w:eastAsia="zh-CN" w:bidi="hi-IN"/>
    </w:rPr>
  </w:style>
  <w:style w:type="paragraph" w:customStyle="1" w:styleId="Standard">
    <w:name w:val="Standard"/>
    <w:uiPriority w:val="99"/>
    <w:rsid w:val="00330024"/>
    <w:pPr>
      <w:widowControl w:val="0"/>
      <w:suppressAutoHyphens/>
      <w:autoSpaceDN w:val="0"/>
      <w:spacing w:after="0" w:line="240" w:lineRule="auto"/>
    </w:pPr>
    <w:rPr>
      <w:rFonts w:ascii="Liberation Serif" w:eastAsia="Segoe UI" w:hAnsi="Liberation Serif" w:cs="Tahoma"/>
      <w:color w:val="000000"/>
      <w:kern w:val="3"/>
      <w:sz w:val="24"/>
      <w:szCs w:val="24"/>
      <w:lang w:val="uk-UA" w:eastAsia="zh-CN" w:bidi="hi-IN"/>
    </w:rPr>
  </w:style>
  <w:style w:type="paragraph" w:styleId="BodyText">
    <w:name w:val="Body Text"/>
    <w:basedOn w:val="Normal"/>
    <w:link w:val="BodyTextChar"/>
    <w:uiPriority w:val="1"/>
    <w:semiHidden/>
    <w:unhideWhenUsed/>
    <w:rsid w:val="006F6BD5"/>
    <w:pPr>
      <w:autoSpaceDE w:val="0"/>
      <w:autoSpaceDN w:val="0"/>
      <w:spacing w:after="0" w:line="240" w:lineRule="auto"/>
    </w:pPr>
    <w:rPr>
      <w:rFonts w:ascii="Verdana" w:hAnsi="Verdana" w:cs="Times New Roman"/>
      <w:sz w:val="20"/>
      <w:szCs w:val="20"/>
      <w:lang w:val="en-US"/>
    </w:rPr>
  </w:style>
  <w:style w:type="character" w:customStyle="1" w:styleId="BodyTextChar">
    <w:name w:val="Body Text Char"/>
    <w:basedOn w:val="DefaultParagraphFont"/>
    <w:link w:val="BodyText"/>
    <w:uiPriority w:val="1"/>
    <w:semiHidden/>
    <w:rsid w:val="006F6BD5"/>
    <w:rPr>
      <w:rFonts w:ascii="Verdana" w:hAnsi="Verdana" w:cs="Times New Roman"/>
      <w:sz w:val="20"/>
      <w:szCs w:val="20"/>
      <w:lang w:val="en-US"/>
    </w:rPr>
  </w:style>
  <w:style w:type="character" w:customStyle="1" w:styleId="normaltextrun">
    <w:name w:val="normaltextrun"/>
    <w:basedOn w:val="DefaultParagraphFont"/>
    <w:rsid w:val="005429B2"/>
  </w:style>
  <w:style w:type="paragraph" w:styleId="HTMLPreformatted">
    <w:name w:val="HTML Preformatted"/>
    <w:basedOn w:val="Normal"/>
    <w:link w:val="HTMLPreformattedChar"/>
    <w:uiPriority w:val="99"/>
    <w:semiHidden/>
    <w:unhideWhenUsed/>
    <w:rsid w:val="005C42A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C4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4900">
      <w:bodyDiv w:val="1"/>
      <w:marLeft w:val="0"/>
      <w:marRight w:val="0"/>
      <w:marTop w:val="0"/>
      <w:marBottom w:val="0"/>
      <w:divBdr>
        <w:top w:val="none" w:sz="0" w:space="0" w:color="auto"/>
        <w:left w:val="none" w:sz="0" w:space="0" w:color="auto"/>
        <w:bottom w:val="none" w:sz="0" w:space="0" w:color="auto"/>
        <w:right w:val="none" w:sz="0" w:space="0" w:color="auto"/>
      </w:divBdr>
    </w:div>
    <w:div w:id="133648479">
      <w:bodyDiv w:val="1"/>
      <w:marLeft w:val="0"/>
      <w:marRight w:val="0"/>
      <w:marTop w:val="0"/>
      <w:marBottom w:val="0"/>
      <w:divBdr>
        <w:top w:val="none" w:sz="0" w:space="0" w:color="auto"/>
        <w:left w:val="none" w:sz="0" w:space="0" w:color="auto"/>
        <w:bottom w:val="none" w:sz="0" w:space="0" w:color="auto"/>
        <w:right w:val="none" w:sz="0" w:space="0" w:color="auto"/>
      </w:divBdr>
    </w:div>
    <w:div w:id="146553000">
      <w:bodyDiv w:val="1"/>
      <w:marLeft w:val="0"/>
      <w:marRight w:val="0"/>
      <w:marTop w:val="0"/>
      <w:marBottom w:val="0"/>
      <w:divBdr>
        <w:top w:val="none" w:sz="0" w:space="0" w:color="auto"/>
        <w:left w:val="none" w:sz="0" w:space="0" w:color="auto"/>
        <w:bottom w:val="none" w:sz="0" w:space="0" w:color="auto"/>
        <w:right w:val="none" w:sz="0" w:space="0" w:color="auto"/>
      </w:divBdr>
    </w:div>
    <w:div w:id="210772133">
      <w:bodyDiv w:val="1"/>
      <w:marLeft w:val="0"/>
      <w:marRight w:val="0"/>
      <w:marTop w:val="0"/>
      <w:marBottom w:val="0"/>
      <w:divBdr>
        <w:top w:val="none" w:sz="0" w:space="0" w:color="auto"/>
        <w:left w:val="none" w:sz="0" w:space="0" w:color="auto"/>
        <w:bottom w:val="none" w:sz="0" w:space="0" w:color="auto"/>
        <w:right w:val="none" w:sz="0" w:space="0" w:color="auto"/>
      </w:divBdr>
    </w:div>
    <w:div w:id="512886596">
      <w:bodyDiv w:val="1"/>
      <w:marLeft w:val="0"/>
      <w:marRight w:val="0"/>
      <w:marTop w:val="0"/>
      <w:marBottom w:val="0"/>
      <w:divBdr>
        <w:top w:val="none" w:sz="0" w:space="0" w:color="auto"/>
        <w:left w:val="none" w:sz="0" w:space="0" w:color="auto"/>
        <w:bottom w:val="none" w:sz="0" w:space="0" w:color="auto"/>
        <w:right w:val="none" w:sz="0" w:space="0" w:color="auto"/>
      </w:divBdr>
    </w:div>
    <w:div w:id="548490827">
      <w:bodyDiv w:val="1"/>
      <w:marLeft w:val="0"/>
      <w:marRight w:val="0"/>
      <w:marTop w:val="0"/>
      <w:marBottom w:val="0"/>
      <w:divBdr>
        <w:top w:val="none" w:sz="0" w:space="0" w:color="auto"/>
        <w:left w:val="none" w:sz="0" w:space="0" w:color="auto"/>
        <w:bottom w:val="none" w:sz="0" w:space="0" w:color="auto"/>
        <w:right w:val="none" w:sz="0" w:space="0" w:color="auto"/>
      </w:divBdr>
    </w:div>
    <w:div w:id="549614990">
      <w:bodyDiv w:val="1"/>
      <w:marLeft w:val="0"/>
      <w:marRight w:val="0"/>
      <w:marTop w:val="0"/>
      <w:marBottom w:val="0"/>
      <w:divBdr>
        <w:top w:val="none" w:sz="0" w:space="0" w:color="auto"/>
        <w:left w:val="none" w:sz="0" w:space="0" w:color="auto"/>
        <w:bottom w:val="none" w:sz="0" w:space="0" w:color="auto"/>
        <w:right w:val="none" w:sz="0" w:space="0" w:color="auto"/>
      </w:divBdr>
    </w:div>
    <w:div w:id="631596874">
      <w:bodyDiv w:val="1"/>
      <w:marLeft w:val="0"/>
      <w:marRight w:val="0"/>
      <w:marTop w:val="0"/>
      <w:marBottom w:val="0"/>
      <w:divBdr>
        <w:top w:val="none" w:sz="0" w:space="0" w:color="auto"/>
        <w:left w:val="none" w:sz="0" w:space="0" w:color="auto"/>
        <w:bottom w:val="none" w:sz="0" w:space="0" w:color="auto"/>
        <w:right w:val="none" w:sz="0" w:space="0" w:color="auto"/>
      </w:divBdr>
    </w:div>
    <w:div w:id="769012055">
      <w:bodyDiv w:val="1"/>
      <w:marLeft w:val="0"/>
      <w:marRight w:val="0"/>
      <w:marTop w:val="0"/>
      <w:marBottom w:val="0"/>
      <w:divBdr>
        <w:top w:val="none" w:sz="0" w:space="0" w:color="auto"/>
        <w:left w:val="none" w:sz="0" w:space="0" w:color="auto"/>
        <w:bottom w:val="none" w:sz="0" w:space="0" w:color="auto"/>
        <w:right w:val="none" w:sz="0" w:space="0" w:color="auto"/>
      </w:divBdr>
    </w:div>
    <w:div w:id="774520189">
      <w:bodyDiv w:val="1"/>
      <w:marLeft w:val="0"/>
      <w:marRight w:val="0"/>
      <w:marTop w:val="0"/>
      <w:marBottom w:val="0"/>
      <w:divBdr>
        <w:top w:val="none" w:sz="0" w:space="0" w:color="auto"/>
        <w:left w:val="none" w:sz="0" w:space="0" w:color="auto"/>
        <w:bottom w:val="none" w:sz="0" w:space="0" w:color="auto"/>
        <w:right w:val="none" w:sz="0" w:space="0" w:color="auto"/>
      </w:divBdr>
    </w:div>
    <w:div w:id="814302937">
      <w:bodyDiv w:val="1"/>
      <w:marLeft w:val="0"/>
      <w:marRight w:val="0"/>
      <w:marTop w:val="0"/>
      <w:marBottom w:val="0"/>
      <w:divBdr>
        <w:top w:val="none" w:sz="0" w:space="0" w:color="auto"/>
        <w:left w:val="none" w:sz="0" w:space="0" w:color="auto"/>
        <w:bottom w:val="none" w:sz="0" w:space="0" w:color="auto"/>
        <w:right w:val="none" w:sz="0" w:space="0" w:color="auto"/>
      </w:divBdr>
    </w:div>
    <w:div w:id="897936651">
      <w:bodyDiv w:val="1"/>
      <w:marLeft w:val="0"/>
      <w:marRight w:val="0"/>
      <w:marTop w:val="0"/>
      <w:marBottom w:val="0"/>
      <w:divBdr>
        <w:top w:val="none" w:sz="0" w:space="0" w:color="auto"/>
        <w:left w:val="none" w:sz="0" w:space="0" w:color="auto"/>
        <w:bottom w:val="none" w:sz="0" w:space="0" w:color="auto"/>
        <w:right w:val="none" w:sz="0" w:space="0" w:color="auto"/>
      </w:divBdr>
    </w:div>
    <w:div w:id="1293485476">
      <w:bodyDiv w:val="1"/>
      <w:marLeft w:val="0"/>
      <w:marRight w:val="0"/>
      <w:marTop w:val="0"/>
      <w:marBottom w:val="0"/>
      <w:divBdr>
        <w:top w:val="none" w:sz="0" w:space="0" w:color="auto"/>
        <w:left w:val="none" w:sz="0" w:space="0" w:color="auto"/>
        <w:bottom w:val="none" w:sz="0" w:space="0" w:color="auto"/>
        <w:right w:val="none" w:sz="0" w:space="0" w:color="auto"/>
      </w:divBdr>
    </w:div>
    <w:div w:id="1340503877">
      <w:bodyDiv w:val="1"/>
      <w:marLeft w:val="0"/>
      <w:marRight w:val="0"/>
      <w:marTop w:val="0"/>
      <w:marBottom w:val="0"/>
      <w:divBdr>
        <w:top w:val="none" w:sz="0" w:space="0" w:color="auto"/>
        <w:left w:val="none" w:sz="0" w:space="0" w:color="auto"/>
        <w:bottom w:val="none" w:sz="0" w:space="0" w:color="auto"/>
        <w:right w:val="none" w:sz="0" w:space="0" w:color="auto"/>
      </w:divBdr>
    </w:div>
    <w:div w:id="1371800703">
      <w:bodyDiv w:val="1"/>
      <w:marLeft w:val="0"/>
      <w:marRight w:val="0"/>
      <w:marTop w:val="0"/>
      <w:marBottom w:val="0"/>
      <w:divBdr>
        <w:top w:val="none" w:sz="0" w:space="0" w:color="auto"/>
        <w:left w:val="none" w:sz="0" w:space="0" w:color="auto"/>
        <w:bottom w:val="none" w:sz="0" w:space="0" w:color="auto"/>
        <w:right w:val="none" w:sz="0" w:space="0" w:color="auto"/>
      </w:divBdr>
    </w:div>
    <w:div w:id="1428966206">
      <w:bodyDiv w:val="1"/>
      <w:marLeft w:val="0"/>
      <w:marRight w:val="0"/>
      <w:marTop w:val="0"/>
      <w:marBottom w:val="0"/>
      <w:divBdr>
        <w:top w:val="none" w:sz="0" w:space="0" w:color="auto"/>
        <w:left w:val="none" w:sz="0" w:space="0" w:color="auto"/>
        <w:bottom w:val="none" w:sz="0" w:space="0" w:color="auto"/>
        <w:right w:val="none" w:sz="0" w:space="0" w:color="auto"/>
      </w:divBdr>
    </w:div>
    <w:div w:id="1457530908">
      <w:bodyDiv w:val="1"/>
      <w:marLeft w:val="0"/>
      <w:marRight w:val="0"/>
      <w:marTop w:val="0"/>
      <w:marBottom w:val="0"/>
      <w:divBdr>
        <w:top w:val="none" w:sz="0" w:space="0" w:color="auto"/>
        <w:left w:val="none" w:sz="0" w:space="0" w:color="auto"/>
        <w:bottom w:val="none" w:sz="0" w:space="0" w:color="auto"/>
        <w:right w:val="none" w:sz="0" w:space="0" w:color="auto"/>
      </w:divBdr>
    </w:div>
    <w:div w:id="1471747626">
      <w:bodyDiv w:val="1"/>
      <w:marLeft w:val="0"/>
      <w:marRight w:val="0"/>
      <w:marTop w:val="0"/>
      <w:marBottom w:val="0"/>
      <w:divBdr>
        <w:top w:val="none" w:sz="0" w:space="0" w:color="auto"/>
        <w:left w:val="none" w:sz="0" w:space="0" w:color="auto"/>
        <w:bottom w:val="none" w:sz="0" w:space="0" w:color="auto"/>
        <w:right w:val="none" w:sz="0" w:space="0" w:color="auto"/>
      </w:divBdr>
      <w:divsChild>
        <w:div w:id="595984708">
          <w:marLeft w:val="0"/>
          <w:marRight w:val="0"/>
          <w:marTop w:val="0"/>
          <w:marBottom w:val="0"/>
          <w:divBdr>
            <w:top w:val="none" w:sz="0" w:space="0" w:color="auto"/>
            <w:left w:val="none" w:sz="0" w:space="0" w:color="auto"/>
            <w:bottom w:val="none" w:sz="0" w:space="0" w:color="auto"/>
            <w:right w:val="none" w:sz="0" w:space="0" w:color="auto"/>
          </w:divBdr>
        </w:div>
      </w:divsChild>
    </w:div>
    <w:div w:id="1530023442">
      <w:bodyDiv w:val="1"/>
      <w:marLeft w:val="0"/>
      <w:marRight w:val="0"/>
      <w:marTop w:val="0"/>
      <w:marBottom w:val="0"/>
      <w:divBdr>
        <w:top w:val="none" w:sz="0" w:space="0" w:color="auto"/>
        <w:left w:val="none" w:sz="0" w:space="0" w:color="auto"/>
        <w:bottom w:val="none" w:sz="0" w:space="0" w:color="auto"/>
        <w:right w:val="none" w:sz="0" w:space="0" w:color="auto"/>
      </w:divBdr>
    </w:div>
    <w:div w:id="1816797163">
      <w:bodyDiv w:val="1"/>
      <w:marLeft w:val="0"/>
      <w:marRight w:val="0"/>
      <w:marTop w:val="0"/>
      <w:marBottom w:val="0"/>
      <w:divBdr>
        <w:top w:val="none" w:sz="0" w:space="0" w:color="auto"/>
        <w:left w:val="none" w:sz="0" w:space="0" w:color="auto"/>
        <w:bottom w:val="none" w:sz="0" w:space="0" w:color="auto"/>
        <w:right w:val="none" w:sz="0" w:space="0" w:color="auto"/>
      </w:divBdr>
    </w:div>
    <w:div w:id="1866554182">
      <w:bodyDiv w:val="1"/>
      <w:marLeft w:val="0"/>
      <w:marRight w:val="0"/>
      <w:marTop w:val="0"/>
      <w:marBottom w:val="0"/>
      <w:divBdr>
        <w:top w:val="none" w:sz="0" w:space="0" w:color="auto"/>
        <w:left w:val="none" w:sz="0" w:space="0" w:color="auto"/>
        <w:bottom w:val="none" w:sz="0" w:space="0" w:color="auto"/>
        <w:right w:val="none" w:sz="0" w:space="0" w:color="auto"/>
      </w:divBdr>
    </w:div>
    <w:div w:id="1944680352">
      <w:bodyDiv w:val="1"/>
      <w:marLeft w:val="0"/>
      <w:marRight w:val="0"/>
      <w:marTop w:val="0"/>
      <w:marBottom w:val="0"/>
      <w:divBdr>
        <w:top w:val="none" w:sz="0" w:space="0" w:color="auto"/>
        <w:left w:val="none" w:sz="0" w:space="0" w:color="auto"/>
        <w:bottom w:val="none" w:sz="0" w:space="0" w:color="auto"/>
        <w:right w:val="none" w:sz="0" w:space="0" w:color="auto"/>
      </w:divBdr>
    </w:div>
    <w:div w:id="2082215891">
      <w:bodyDiv w:val="1"/>
      <w:marLeft w:val="0"/>
      <w:marRight w:val="0"/>
      <w:marTop w:val="0"/>
      <w:marBottom w:val="0"/>
      <w:divBdr>
        <w:top w:val="none" w:sz="0" w:space="0" w:color="auto"/>
        <w:left w:val="none" w:sz="0" w:space="0" w:color="auto"/>
        <w:bottom w:val="none" w:sz="0" w:space="0" w:color="auto"/>
        <w:right w:val="none" w:sz="0" w:space="0" w:color="auto"/>
      </w:divBdr>
    </w:div>
    <w:div w:id="213432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apukraine@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_ua@cumc.columbia.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capukraine@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_ua@cumc.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61E82661F526418E53B0CAD6492DFB" ma:contentTypeVersion="18" ma:contentTypeDescription="Create a new document." ma:contentTypeScope="" ma:versionID="05cefd4caf11a6a29e0bca064cafa543">
  <xsd:schema xmlns:xsd="http://www.w3.org/2001/XMLSchema" xmlns:xs="http://www.w3.org/2001/XMLSchema" xmlns:p="http://schemas.microsoft.com/office/2006/metadata/properties" xmlns:ns2="32a472b2-3426-4696-97ea-1b8fbe7c76b6" xmlns:ns3="89e2034d-8fd2-4e1a-b2a5-92d5d4497034" targetNamespace="http://schemas.microsoft.com/office/2006/metadata/properties" ma:root="true" ma:fieldsID="a7fcc38b0926308620250909ea80e0f1" ns2:_="" ns3:_="">
    <xsd:import namespace="32a472b2-3426-4696-97ea-1b8fbe7c76b6"/>
    <xsd:import namespace="89e2034d-8fd2-4e1a-b2a5-92d5d44970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472b2-3426-4696-97ea-1b8fbe7c7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e2034d-8fd2-4e1a-b2a5-92d5d44970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9ba39c-acef-4d02-9bfe-d767982ebded}" ma:internalName="TaxCatchAll" ma:showField="CatchAllData" ma:web="89e2034d-8fd2-4e1a-b2a5-92d5d4497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a472b2-3426-4696-97ea-1b8fbe7c76b6">
      <Terms xmlns="http://schemas.microsoft.com/office/infopath/2007/PartnerControls"/>
    </lcf76f155ced4ddcb4097134ff3c332f>
    <TaxCatchAll xmlns="89e2034d-8fd2-4e1a-b2a5-92d5d4497034" xsi:nil="true"/>
  </documentManagement>
</p:properties>
</file>

<file path=customXml/itemProps1.xml><?xml version="1.0" encoding="utf-8"?>
<ds:datastoreItem xmlns:ds="http://schemas.openxmlformats.org/officeDocument/2006/customXml" ds:itemID="{16F909F8-5470-42C8-93A4-3BEE651604BE}">
  <ds:schemaRefs>
    <ds:schemaRef ds:uri="http://schemas.openxmlformats.org/officeDocument/2006/bibliography"/>
  </ds:schemaRefs>
</ds:datastoreItem>
</file>

<file path=customXml/itemProps2.xml><?xml version="1.0" encoding="utf-8"?>
<ds:datastoreItem xmlns:ds="http://schemas.openxmlformats.org/officeDocument/2006/customXml" ds:itemID="{3DB96290-162A-4701-8B6A-37DA77ED4FD1}">
  <ds:schemaRefs>
    <ds:schemaRef ds:uri="http://schemas.microsoft.com/sharepoint/v3/contenttype/forms"/>
  </ds:schemaRefs>
</ds:datastoreItem>
</file>

<file path=customXml/itemProps3.xml><?xml version="1.0" encoding="utf-8"?>
<ds:datastoreItem xmlns:ds="http://schemas.openxmlformats.org/officeDocument/2006/customXml" ds:itemID="{32739FC5-80A5-446A-BE3B-B9D5FCF51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472b2-3426-4696-97ea-1b8fbe7c76b6"/>
    <ds:schemaRef ds:uri="89e2034d-8fd2-4e1a-b2a5-92d5d4497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EF41D-8C54-4869-B604-7BF5B227E116}">
  <ds:schemaRefs>
    <ds:schemaRef ds:uri="http://schemas.microsoft.com/office/2006/metadata/properties"/>
    <ds:schemaRef ds:uri="http://schemas.microsoft.com/office/infopath/2007/PartnerControls"/>
    <ds:schemaRef ds:uri="32a472b2-3426-4696-97ea-1b8fbe7c76b6"/>
    <ds:schemaRef ds:uri="89e2034d-8fd2-4e1a-b2a5-92d5d4497034"/>
  </ds:schemaRefs>
</ds:datastoreItem>
</file>

<file path=docMetadata/LabelInfo.xml><?xml version="1.0" encoding="utf-8"?>
<clbl:labelList xmlns:clbl="http://schemas.microsoft.com/office/2020/mipLabelMetadata">
  <clbl:label id="{b0002a9b-0017-404d-97dc-3d3bab09be81}" enabled="0" method="" siteId="{b0002a9b-0017-404d-97dc-3d3bab09be81}"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2212</Words>
  <Characters>14688</Characters>
  <Application>Microsoft Office Word</Application>
  <DocSecurity>0</DocSecurity>
  <Lines>386</Lines>
  <Paragraphs>252</Paragraphs>
  <ScaleCrop>false</ScaleCrop>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 Olena</dc:creator>
  <cp:keywords/>
  <dc:description/>
  <cp:lastModifiedBy>Vystoropska, Viktoriia</cp:lastModifiedBy>
  <cp:revision>4</cp:revision>
  <cp:lastPrinted>2023-06-26T12:54:00Z</cp:lastPrinted>
  <dcterms:created xsi:type="dcterms:W3CDTF">2026-02-04T10:51:00Z</dcterms:created>
  <dcterms:modified xsi:type="dcterms:W3CDTF">2026-02-04T10:57:00Z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0acb15e469e3c2f41b395beb8c9e4b05f9cae90d4b9f49499861b4015f3d53a7</vt:lpwstr>
  </property>
  <property fmtid="{D5CDD505-2E9C-101B-9397-08002B2CF9AE}" pid="3" name="ContentTypeId">
    <vt:lpwstr>0x0101002661E82661F526418E53B0CAD6492DFB</vt:lpwstr>
  </property>
  <property fmtid="{D5CDD505-2E9C-101B-9397-08002B2CF9AE}" pid="4" name="MediaServiceImageTags">
    <vt:lpwstr/>
  </property>
</Properties>
</file>