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9" w:lineRule="auto"/>
        <w:ind w:left="2"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spacing w:before="268" w:lineRule="auto"/>
        <w:ind w:left="0" w:right="137" w:firstLine="0"/>
        <w:jc w:val="right"/>
        <w:rPr>
          <w:b w:val="1"/>
          <w:bCs w:val="1"/>
          <w:sz w:val="24"/>
          <w:szCs w:val="24"/>
        </w:rPr>
      </w:pPr>
      <w:r w:rsidDel="00000000" w:rsidR="00000000" w:rsidRPr="00000000">
        <w:rPr>
          <w:b w:val="1"/>
          <w:bCs w:val="1"/>
          <w:sz w:val="24"/>
          <w:szCs w:val="24"/>
          <w:rtl w:val="0"/>
        </w:rPr>
        <w:t xml:space="preserve">Додаток 4</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firstLine="0"/>
        <w:rPr/>
      </w:pPr>
      <w:r w:rsidDel="00000000" w:rsidR="00000000" w:rsidRPr="00000000">
        <w:rPr>
          <w:rtl w:val="0"/>
        </w:rPr>
        <w:t xml:space="preserve">КОДЕКС ПОВЕДІНКИ</w:t>
      </w:r>
    </w:p>
    <w:p w:rsidR="00000000" w:rsidDel="00000000" w:rsidP="00000000" w:rsidRDefault="00000000" w:rsidRPr="00000000" w14:paraId="00000006">
      <w:pPr>
        <w:spacing w:before="0" w:line="368" w:lineRule="auto"/>
        <w:ind w:left="6" w:right="142" w:firstLine="0"/>
        <w:jc w:val="center"/>
        <w:rPr>
          <w:b w:val="1"/>
          <w:bCs w:val="1"/>
          <w:sz w:val="32"/>
          <w:szCs w:val="32"/>
        </w:rPr>
      </w:pPr>
      <w:r w:rsidDel="00000000" w:rsidR="00000000" w:rsidRPr="00000000">
        <w:rPr>
          <w:b w:val="1"/>
          <w:bCs w:val="1"/>
          <w:sz w:val="32"/>
          <w:szCs w:val="32"/>
          <w:rtl w:val="0"/>
        </w:rPr>
        <w:t xml:space="preserve">постачальника Благодійного фонду “Живе серце”</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6"/>
        </w:tabs>
        <w:spacing w:after="0" w:before="245" w:line="240" w:lineRule="auto"/>
        <w:ind w:left="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Сфера застосування: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положеннях цього Кодексу поведінки постачальника </w:t>
      </w:r>
      <w:r w:rsidDel="00000000" w:rsidR="00000000" w:rsidRPr="00000000">
        <w:rPr>
          <w:sz w:val="24"/>
          <w:szCs w:val="24"/>
          <w:rtl w:val="0"/>
        </w:rPr>
        <w:t xml:space="preserve">Благодійного фонду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(далі - Кодекс поведінки) викладені вимоги </w:t>
      </w:r>
      <w:r w:rsidDel="00000000" w:rsidR="00000000" w:rsidRPr="00000000">
        <w:rPr>
          <w:sz w:val="24"/>
          <w:szCs w:val="24"/>
          <w:rtl w:val="0"/>
        </w:rPr>
        <w:t xml:space="preserve">Благодійного фонду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(скорочене найменування –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яких повинні дотримуватися всі постачальники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ці принципи будуть застосовуватися до постачальників та їхнього персоналу, материнських і дочірніх компаній або філій і субпідрядників.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подбають про те, щоб довести зміст цього Кодексу поведінки до відома своїх працівників, материнських і дочірніх компаній і філій, а також всіх субпідрядників, і що це буде зроблено місцевою мовою в найбільш доступній для всіх формі. Для того, щоб зареєструвати постачальника в базі даних постачальників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або мати взаємовідносини з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постачальник зобов'язаний прочитати та прийняти, що цей Кодекс поведінки забезпечує мінімальні стандарти, які очікуються від постачальників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Крім того, постачальники повинні розуміти, що деякі положення цього Кодексу поведінки будуть обов'язковими для виконання постачальником у випадку, якщо постачальник укладе договір з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відповідно до умов будь-якого такого контракту. Недотримання певних положень також може перешкодити постачальникам отримати договір з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140" w:line="240" w:lineRule="auto"/>
        <w:ind w:left="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Постійне вдосконалення: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положеннях цього Кодексу поведінки викладені мінімальні стандарти, дотримання яких очікується від постачальників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БФ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будуть прагнути перевершити найкращі зразки як міжнародної, так і галузевої практики.</w:t>
      </w:r>
      <w:r w:rsidDel="00000000" w:rsidR="00000000" w:rsidRPr="00000000">
        <w:rPr>
          <w:sz w:val="24"/>
          <w:szCs w:val="24"/>
          <w:rtl w:val="0"/>
        </w:rPr>
        <w:t xml:space="preserve"> 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також, що постачальники будуть вести роботу зі своїми власними постачальниками та субпідрядниками, закликаючи їх до того, щоб вони також прагнули дотримуватися принципів цього Кодексу поведінки. </w:t>
      </w:r>
      <w:r w:rsidDel="00000000" w:rsidR="00000000" w:rsidRPr="00000000">
        <w:rPr>
          <w:sz w:val="24"/>
          <w:szCs w:val="24"/>
          <w:rtl w:val="0"/>
        </w:rPr>
        <w:t xml:space="preserve">БФ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усвідомлює, що дотримання деяких стандартів, викладених у цьому Кодексі поведінки, є скоріше динамічним, ніж статичним процесом і закликає постачальників постійно вдосконалювати умови праці відповідним чином.</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137" w:line="240" w:lineRule="auto"/>
        <w:ind w:left="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Управління, контроль і оцінка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сподівається, що постачальники, як мінімум, поставили чіткі цілі на шляху до дотримання стандартів, викладених у цьому Кодексі поведінки.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створять і підтримуватимуть належні системи управління, сфера застосування яких буде відповідати змісту цього Кодексу поведінки і що вони будуть активно аналізувати, контролювати і видозмінювати свої процеси управління і господарські операції з тим, щоб забезпечити їхню відповідність принципам, викладеним у цьому Кодексі поведінки.</w:t>
      </w:r>
    </w:p>
    <w:p w:rsidR="00000000" w:rsidDel="00000000" w:rsidP="00000000" w:rsidRDefault="00000000" w:rsidRPr="00000000" w14:paraId="0000000A">
      <w:pPr>
        <w:pStyle w:val="Heading2"/>
        <w:spacing w:before="121" w:lineRule="auto"/>
        <w:ind w:left="5" w:firstLine="0"/>
        <w:rPr/>
      </w:pPr>
      <w:r w:rsidDel="00000000" w:rsidR="00000000" w:rsidRPr="00000000">
        <w:rPr>
          <w:rtl w:val="0"/>
        </w:rPr>
        <w:t xml:space="preserve">ТРУДОВІ ВІДНОСИНИ</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120" w:line="240" w:lineRule="auto"/>
        <w:ind w:left="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Свобода асоціацій і укладення колективних договорів: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будуть визнавати вільне здійснення права працюючих без будь-якого розмежування об'єднуватися в організації, відстоювати і захищати свої інтереси і укладати колективні договори, а також забезпечувати захист своїх працівників від будь-яких дій або інших форм дискримінації, пов'язаної із здійсненням їхнього права об'єднуватися в організації, брати участь у діяльності професійних спілок та укладати колективні договори.</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137" w:line="240" w:lineRule="auto"/>
        <w:ind w:left="2" w:right="1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40" w:w="11910" w:orient="portrait"/>
          <w:pgMar w:bottom="280" w:top="660" w:left="1700" w:right="425" w:header="360" w:footer="360"/>
          <w:pgNumType w:start="1"/>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Примусова чи обов'язкова праця: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її постачальники заборонять застосування примусової чи обов'язкової праці у всіх її формах.</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272" w:line="240" w:lineRule="auto"/>
        <w:ind w:left="285"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Дитяча праця: </w:t>
      </w:r>
      <w:r w:rsidDel="00000000" w:rsidR="00000000" w:rsidRPr="00000000">
        <w:rPr>
          <w:sz w:val="24"/>
          <w:szCs w:val="24"/>
          <w:rtl w:val="0"/>
        </w:rPr>
        <w:t xml:space="preserve">БФ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її постачальники не будуть наймати:</w:t>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121" w:line="240" w:lineRule="auto"/>
        <w:ind w:left="2" w:right="14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дітей, які не досягли мінімального віку прийому на роботу, що включає: дітей віком до 14 років; дітей старше 14 років, але не молодше мінімального віку найму на роботу у відповідності із законом країни або країн, де повністю або частково здійснюється виконання робочого контракту; і дітей молодше віку завершення обов'язкової шкільної освіти;</w:t>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 w:right="1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осіб молодше 18 років для виконання роботи, яка за своїм характером або за умовами виконання може завдати шкоди здоров'ю, безпеці чи моральності таких осіб.</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139" w:line="240" w:lineRule="auto"/>
        <w:ind w:left="2" w:right="13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Дискримінація: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будуть забезпечувати рівність можливостей і рівноправність у галузі праці та роду діяльності без будь якої дискримінації за ознакою раси, кольору шкіри, статі, віросповідання, політичних поглядів, національного або соціального походження або за будь-якою іншою ознакою, яка може бути передбачена у національному законодавстві країни або країн, де повністю або частково здійснюється виконання договору.</w:t>
      </w:r>
      <w:r w:rsidDel="00000000" w:rsidR="00000000" w:rsidRPr="00000000">
        <w:rPr>
          <w:sz w:val="24"/>
          <w:szCs w:val="24"/>
          <w:rtl w:val="0"/>
        </w:rPr>
        <w:t xml:space="preserve"> 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її постачальники вживатимуть усіх належних заходів для того, щоб ні вони самі, ні їхні материнські і дочірні компанії та філій, а також субпідрядники не допускали гендерно-зумовлених чи інших дискримінаційних практик працевлаштування, включаючи тих, що стосуються найму, підвищення на посаді, навчання, оплати праці та бонусів.</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138" w:line="240" w:lineRule="auto"/>
        <w:ind w:left="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Заробітна плата, робочий час та інші умови праці: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будуть забезпечувати виплату заробітної плати законними платіжними засобами через рівні проміжки часу, що не перевищують одного місяця, у повному обсязі і безпосередньо відповідним працівникам. Постачальники повинні вести належний облік таких виплат. Відрахування із заробітної плати допускаються тільки при дотриманні умов і в розмірах, запропонованих застосовним законом, правилами і, або колективною угодою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що надаються постачальниками, не повинні бути менш вигідними у порівнянні з найкращими умовами, які переважають у конкретній місцевості, тобто умовами, передбаченими:</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284" w:right="0" w:hanging="28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колективними угодами, які охоплюють значну частку роботодавців і працівників;</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арбітражними рішеннями;</w:t>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1" w:line="240" w:lineRule="auto"/>
        <w:ind w:left="2"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застосовними законами або правилами щодо роботи аналогічного характеру, що виконується у відповідній професійній сфері або галузі, у тому районі, де ця робота здійснюється.</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8"/>
        </w:tabs>
        <w:spacing w:after="0" w:before="120" w:line="240" w:lineRule="auto"/>
        <w:ind w:left="2" w:right="1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Здоров'я та безпека: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будуть забезпечувати, наскільки це практично можливо у межах доцільності:</w:t>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160" w:line="240" w:lineRule="auto"/>
        <w:ind w:left="2" w:right="1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надійність і безпеку робочих місць, машин, обладнання та процесів, які перебувають під їхнім контролем;</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 w:right="1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безпеку для здоров'я, за умови застосування належних захисних заходів, хімічних, фізичних і біологічних речовин і агентів, що знаходяться під їхнім контролем;</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 w:right="12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надання, у разі необхідності, належного захисного одягу і захисного спорядження для запобігання, наскільки це практично можливо у межах доцільності, ризику виникнення нещасних випадків або несприятливих наслідків для здоров’я.</w:t>
      </w:r>
    </w:p>
    <w:p w:rsidR="00000000" w:rsidDel="00000000" w:rsidP="00000000" w:rsidRDefault="00000000" w:rsidRPr="00000000" w14:paraId="00000019">
      <w:pPr>
        <w:pStyle w:val="Heading2"/>
        <w:spacing w:before="160" w:lineRule="auto"/>
        <w:ind w:left="27" w:firstLine="0"/>
        <w:rPr/>
      </w:pPr>
      <w:r w:rsidDel="00000000" w:rsidR="00000000" w:rsidRPr="00000000">
        <w:rPr>
          <w:rtl w:val="0"/>
        </w:rPr>
        <w:t xml:space="preserve">ПРАВА ЛЮДИНИ</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9"/>
        </w:tabs>
        <w:spacing w:after="0" w:before="160" w:line="240" w:lineRule="auto"/>
        <w:ind w:left="2"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людини: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від своїх постачальників підтримки і дотримання проголошених на міжнародному рівні прав людини, а також гарантій того, що вони не беруть участі у порушенні прав людини.</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9"/>
        </w:tabs>
        <w:spacing w:after="0" w:before="137" w:line="240" w:lineRule="auto"/>
        <w:ind w:left="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7" w:type="default"/>
          <w:type w:val="nextPage"/>
          <w:pgSz w:h="16840" w:w="11910" w:orient="portrait"/>
          <w:pgMar w:bottom="280" w:top="960" w:left="1700" w:right="425" w:header="751" w:footer="0"/>
          <w:pgNumType w:start="2"/>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Переслідування, жорстоке або нелюдське поводження: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створять і будуть підтримувати обставини, в яких всім працівникам</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гарантується гідність і повага.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її постачальники, їхні материнські і дочірні компанії та філії, а також субпідрядники не вдаватимуться та не братимуть участь і не дозволятимуть своїм працівникам чи іншим залученим ними особам застосовувати чи брати участь у будь-яких: загрозах насильства, вербальному чи психологічному залякуванні чи зловживанні та / або сексуальних зловживаннях та експлуатації. Сексуальна експлуатація та зловживання порушують загальновизнані міжнародні правові норми та стандарти і є неприйнятною та забороненою поведінкою для </w:t>
      </w:r>
      <w:r w:rsidDel="00000000" w:rsidR="00000000" w:rsidRPr="00000000">
        <w:rPr>
          <w:sz w:val="24"/>
          <w:szCs w:val="24"/>
          <w:rtl w:val="0"/>
        </w:rPr>
        <w:t xml:space="preserve">БФ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Перед укладенням договору з</w:t>
      </w:r>
      <w:r w:rsidDel="00000000" w:rsidR="00000000" w:rsidRPr="00000000">
        <w:rPr>
          <w:sz w:val="24"/>
          <w:szCs w:val="24"/>
          <w:rtl w:val="0"/>
        </w:rPr>
        <w:t xml:space="preserve"> 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постачальники інформуються про стандарти поведінки щодо заборони сексуальної експлуатації та зловживань. Такі стандарти включають в себе, але не обмежуються цим:</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162" w:line="240" w:lineRule="auto"/>
        <w:ind w:left="2"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заборона будь-якої сексуальної діяльності з будь-якою особою, яка не досягла 18 років, незалежно від законів що визначають повноліття чи надання згоди;</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 w:right="1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обміну грошей, працевлаштування, товарів, послуг чи інших цінностей на секс та / або залучення до будь-якої сексуальної діяльності, яка експлуатує або принижує гідність людини.</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її постачальники вживатимуть усіх належних заходів, щоб заборонити своїм працівникам чи субпідрядникам вдаватися до сексуальної експлуатації та зловживання.</w:t>
      </w:r>
      <w:r w:rsidDel="00000000" w:rsidR="00000000" w:rsidRPr="00000000">
        <w:rPr>
          <w:sz w:val="24"/>
          <w:szCs w:val="24"/>
          <w:rtl w:val="0"/>
        </w:rPr>
        <w:t xml:space="preserve"> 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також очікує від своїх постачальників створення та підтримання середовища, що запобігає сексуальній експлуатації та зловживанням. Відмова постачальника вживати запобіжних заходів проти сексуальної експлуатації чи жорстокого поводження, розслідувати звинувачення у цьому чи вживати коригувальних заходів у разі сексуальної експлуатації чи жорстокого поводження є підставою для припинення будь-якої угоди з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Більше того, не допускається будь-яке жорстоке або нелюдське поводження, примус або тілесні покарання і загроза такого поводження.</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9"/>
        </w:tabs>
        <w:spacing w:after="0" w:before="161" w:line="240" w:lineRule="auto"/>
        <w:ind w:left="2"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Міни: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не братимуть участі у продажу або виробництві протипіхотних мін або компонентів, які використовуються у виробництві протипіхотних мін.</w:t>
      </w:r>
    </w:p>
    <w:p w:rsidR="00000000" w:rsidDel="00000000" w:rsidP="00000000" w:rsidRDefault="00000000" w:rsidRPr="00000000" w14:paraId="00000021">
      <w:pPr>
        <w:pStyle w:val="Heading2"/>
        <w:ind w:left="66" w:firstLine="0"/>
        <w:rPr/>
      </w:pPr>
      <w:r w:rsidDel="00000000" w:rsidR="00000000" w:rsidRPr="00000000">
        <w:rPr>
          <w:rtl w:val="0"/>
        </w:rPr>
        <w:t xml:space="preserve">ДОВКІЛЛЯ</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9"/>
        </w:tabs>
        <w:spacing w:after="0" w:before="120" w:line="240" w:lineRule="auto"/>
        <w:ind w:left="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Навколишнє середовище: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сподівається, що її постачальники дотримуються ефективної природоохоронної політики і, що вони будуть дотримуватися чинного законодавства та норм щодо охорони навколишнього середовища. Коли це можливо постачальникам слід застосовувати попереджувальний підхід до екологічних питань, здійснювати ініціативи, що сприяють підвищенню екологічної відповідальності, впроваджувати технології, що сприяють збереженню навколишнього середовища та застосовувати раціональні методи реалізації життєвого циклу продукції.</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9"/>
        </w:tabs>
        <w:spacing w:after="0" w:before="137" w:line="240" w:lineRule="auto"/>
        <w:ind w:left="2"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Хімічні та небезпечні матеріали: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хімічні матеріали та інші матеріали, які становлять небезпеку для навколишнього середовища, необхідно ідентифікувати і управляти їхнім застосуванням, з тим щоб забезпечити їхнє безпечне використання, переміщення, переробку, вторинне використання і утилізацію.</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9"/>
        </w:tabs>
        <w:spacing w:after="0" w:before="140" w:line="240" w:lineRule="auto"/>
        <w:ind w:left="2"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Стічні води і тверді відходи: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стічні води і тверді відходи, які є похідними операцій, промислових процесів і діяльності очисних споруд, підлягають нагляду, контролю і відповідній обробці перед скиданням або знищенням.</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9"/>
        </w:tabs>
        <w:spacing w:after="0" w:before="137" w:line="240" w:lineRule="auto"/>
        <w:ind w:left="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Забруднення повітря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викиди в атмосферу летких органічних хімічних сполук, аерозолів, кородуючих речовин, твердих частинок, що виснажують озоновий шар, хімічних речовин і побічних продуктів горіння, які є наслідком операцій, підлягають класифікації, нагляду, контролю та відповідній обробці перед емісією або знищенням.</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9"/>
        </w:tabs>
        <w:spacing w:after="0" w:before="139" w:line="240" w:lineRule="auto"/>
        <w:ind w:left="2" w:right="13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960" w:left="1700" w:right="425" w:header="751" w:footer="0"/>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Мінімізація відходів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максимальна утилізація: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відходи всіх видів, у тому числі водні та енергетичні, підлягають скороченню або ліквідації у джерелі або за допомогою таких методів,</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2"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як модифікація виробництва, процесів матеріально-технічного забезпечення та експлуатації об'єктів, заміна матеріалів, економне використання ресурсів, утилізація та вторинне використання матеріалів.</w:t>
      </w:r>
    </w:p>
    <w:p w:rsidR="00000000" w:rsidDel="00000000" w:rsidP="00000000" w:rsidRDefault="00000000" w:rsidRPr="00000000" w14:paraId="00000028">
      <w:pPr>
        <w:pStyle w:val="Heading2"/>
        <w:spacing w:before="140" w:lineRule="auto"/>
        <w:ind w:left="4" w:firstLine="0"/>
        <w:rPr/>
      </w:pPr>
      <w:r w:rsidDel="00000000" w:rsidR="00000000" w:rsidRPr="00000000">
        <w:rPr>
          <w:rtl w:val="0"/>
        </w:rPr>
        <w:t xml:space="preserve">ПРОФЕСІЙНА ЕТИКА</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54"/>
        </w:tabs>
        <w:spacing w:after="0" w:before="137" w:line="240" w:lineRule="auto"/>
        <w:ind w:left="2" w:right="1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Корупція: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будуть дотримуватись найвищих стандартів поведінки в моральному та етичному плані, дотримуватися місцевих законів і не вдаватимуться до будь-яких форм корупції, у тому числі, вимагання, шахрайства або підкупу.</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3"/>
        </w:tabs>
        <w:spacing w:after="0" w:before="139" w:line="259" w:lineRule="auto"/>
        <w:ind w:left="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Конфлікт інтересів: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Передбачається, що постачальники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сповіщатимуть</w:t>
      </w:r>
      <w:r w:rsidDel="00000000" w:rsidR="00000000" w:rsidRPr="00000000">
        <w:rPr>
          <w:sz w:val="24"/>
          <w:szCs w:val="24"/>
          <w:rtl w:val="0"/>
        </w:rPr>
        <w:t xml:space="preserve"> 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 всі ситуації, які можуть бути пов’язані з конфліктом інтересів, інформувати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якщо будь-який співробітник, член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волонтер або надавач послуг </w:t>
      </w:r>
      <w:r w:rsidDel="00000000" w:rsidR="00000000" w:rsidRPr="00000000">
        <w:rPr>
          <w:sz w:val="24"/>
          <w:szCs w:val="24"/>
          <w:rtl w:val="0"/>
        </w:rPr>
        <w:t xml:space="preserve">БФ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може мати будь-які економічні зв’язки або іншу зацікавленість пов’язану з діяльністю постачальника.</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8"/>
        </w:tabs>
        <w:spacing w:after="0" w:before="159" w:line="259" w:lineRule="auto"/>
        <w:ind w:left="2" w:right="13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Подарунки та гостинність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дотримується політики абсолютної нетерпимості і не приймає будь-якого роду подарунків та пропозицій гостинності.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 приймає запрошень на спортивні та культурні заходи або інші розважальні поїздки, запрошень на обід або вечерю. </w:t>
      </w:r>
      <w:r w:rsidDel="00000000" w:rsidR="00000000" w:rsidRPr="00000000">
        <w:rPr>
          <w:sz w:val="24"/>
          <w:szCs w:val="24"/>
          <w:rtl w:val="0"/>
        </w:rPr>
        <w:t xml:space="preserve">БФ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очікує, що постачальники не пропонуватимуть будь-яких пільг, таких як безкоштовні товари або послуги, можливості працевлаштування або здійснення продажів, співробітникам, посадовим особам або надавачам послуг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 метою полегшення ведення справ з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1"/>
        </w:tabs>
        <w:spacing w:after="0" w:before="157" w:line="259" w:lineRule="auto"/>
        <w:ind w:left="2" w:right="13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Обмеження по закінченні трудової або договірної діяльності: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обмеження по закінченні трудової або договірної діяльності можуть застосовуватися до діючих співробітників або надавачів послуг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і до колишніх співробітників або надавачів послуг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які брали участь в процесі закупівель, якщо такі співробітники або надавачі послуг раніше мали професійні зв’язки з постачальниками. Очікується, що постачальники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будуть утримуватися від працевлаштування таких співробітників або надавачів послуг протягом одного року після закінчення ними договірних відносин з </w:t>
      </w:r>
      <w:r w:rsidDel="00000000" w:rsidR="00000000" w:rsidRPr="00000000">
        <w:rPr>
          <w:sz w:val="24"/>
          <w:szCs w:val="24"/>
          <w:rtl w:val="0"/>
        </w:rPr>
        <w:t xml:space="preserve">БФ</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Живе серце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Ознайомлений:</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26"/>
        </w:tabs>
        <w:spacing w:after="0" w:before="0" w:line="240"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65"/>
        </w:tabs>
        <w:spacing w:after="0" w:before="180" w:line="398" w:lineRule="auto"/>
        <w:ind w:left="2" w:right="171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ПІБ, підпис уповноваженої особи постачальника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Печатка (за наявності)</w:t>
      </w:r>
    </w:p>
    <w:sectPr>
      <w:type w:val="nextPage"/>
      <w:pgSz w:h="16840" w:w="11910" w:orient="portrait"/>
      <w:pgMar w:bottom="280" w:top="960" w:left="1700" w:right="425" w:header="751"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4063683</wp:posOffset>
              </wp:positionH>
              <wp:positionV relativeFrom="page">
                <wp:posOffset>459549</wp:posOffset>
              </wp:positionV>
              <wp:extent cx="169545" cy="175260"/>
              <wp:effectExtent b="0" l="0" r="0" t="0"/>
              <wp:wrapNone/>
              <wp:docPr id="2" name=""/>
              <a:graphic>
                <a:graphicData uri="http://schemas.microsoft.com/office/word/2010/wordprocessingShape">
                  <wps:wsp>
                    <wps:cNvSpPr/>
                    <wps:cNvPr id="2" name="Shape 2"/>
                    <wps:spPr>
                      <a:xfrm>
                        <a:off x="5265990" y="3697133"/>
                        <a:ext cx="16002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4063683</wp:posOffset>
              </wp:positionH>
              <wp:positionV relativeFrom="page">
                <wp:posOffset>459549</wp:posOffset>
              </wp:positionV>
              <wp:extent cx="169545" cy="17526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9545" cy="17526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 w:hanging="264"/>
      </w:pPr>
      <w:rPr>
        <w:rFonts w:ascii="Times New Roman" w:cs="Times New Roman" w:eastAsia="Times New Roman" w:hAnsi="Times New Roman"/>
        <w:b w:val="1"/>
        <w:bCs w:val="1"/>
        <w:i w:val="0"/>
        <w:iCs w:val="0"/>
        <w:sz w:val="24"/>
        <w:szCs w:val="24"/>
      </w:rPr>
    </w:lvl>
    <w:lvl w:ilvl="1">
      <w:start w:val="0"/>
      <w:numFmt w:val="bullet"/>
      <w:lvlText w:val="●"/>
      <w:lvlJc w:val="left"/>
      <w:pPr>
        <w:ind w:left="2" w:hanging="284"/>
      </w:pPr>
      <w:rPr>
        <w:rFonts w:ascii="Times New Roman" w:cs="Times New Roman" w:eastAsia="Times New Roman" w:hAnsi="Times New Roman"/>
        <w:b w:val="0"/>
        <w:bCs w:val="0"/>
        <w:i w:val="0"/>
        <w:iCs w:val="0"/>
        <w:sz w:val="24"/>
        <w:szCs w:val="24"/>
      </w:rPr>
    </w:lvl>
    <w:lvl w:ilvl="2">
      <w:start w:val="0"/>
      <w:numFmt w:val="bullet"/>
      <w:lvlText w:val="•"/>
      <w:lvlJc w:val="left"/>
      <w:pPr>
        <w:ind w:left="1956" w:hanging="284"/>
      </w:pPr>
      <w:rPr/>
    </w:lvl>
    <w:lvl w:ilvl="3">
      <w:start w:val="0"/>
      <w:numFmt w:val="bullet"/>
      <w:lvlText w:val="•"/>
      <w:lvlJc w:val="left"/>
      <w:pPr>
        <w:ind w:left="2934" w:hanging="284"/>
      </w:pPr>
      <w:rPr/>
    </w:lvl>
    <w:lvl w:ilvl="4">
      <w:start w:val="0"/>
      <w:numFmt w:val="bullet"/>
      <w:lvlText w:val="•"/>
      <w:lvlJc w:val="left"/>
      <w:pPr>
        <w:ind w:left="3912" w:hanging="284"/>
      </w:pPr>
      <w:rPr/>
    </w:lvl>
    <w:lvl w:ilvl="5">
      <w:start w:val="0"/>
      <w:numFmt w:val="bullet"/>
      <w:lvlText w:val="•"/>
      <w:lvlJc w:val="left"/>
      <w:pPr>
        <w:ind w:left="4890" w:hanging="284"/>
      </w:pPr>
      <w:rPr/>
    </w:lvl>
    <w:lvl w:ilvl="6">
      <w:start w:val="0"/>
      <w:numFmt w:val="bullet"/>
      <w:lvlText w:val="•"/>
      <w:lvlJc w:val="left"/>
      <w:pPr>
        <w:ind w:left="5868" w:hanging="284"/>
      </w:pPr>
      <w:rPr/>
    </w:lvl>
    <w:lvl w:ilvl="7">
      <w:start w:val="0"/>
      <w:numFmt w:val="bullet"/>
      <w:lvlText w:val="•"/>
      <w:lvlJc w:val="left"/>
      <w:pPr>
        <w:ind w:left="6846" w:hanging="284"/>
      </w:pPr>
      <w:rPr/>
    </w:lvl>
    <w:lvl w:ilvl="8">
      <w:start w:val="0"/>
      <w:numFmt w:val="bullet"/>
      <w:lvlText w:val="•"/>
      <w:lvlJc w:val="left"/>
      <w:pPr>
        <w:ind w:left="7825" w:hanging="2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368" w:lineRule="auto"/>
      <w:ind w:right="142"/>
      <w:jc w:val="center"/>
    </w:pPr>
    <w:rPr>
      <w:rFonts w:ascii="Times New Roman" w:cs="Times New Roman" w:eastAsia="Times New Roman" w:hAnsi="Times New Roman"/>
      <w:b w:val="1"/>
      <w:bCs w:val="1"/>
      <w:sz w:val="32"/>
      <w:szCs w:val="32"/>
    </w:rPr>
  </w:style>
  <w:style w:type="paragraph" w:styleId="Heading2">
    <w:name w:val="heading 2"/>
    <w:basedOn w:val="Normal"/>
    <w:next w:val="Normal"/>
    <w:pPr>
      <w:spacing w:before="120" w:lineRule="auto"/>
      <w:ind w:right="142"/>
      <w:jc w:val="center"/>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2"/>
      <w:jc w:val="both"/>
    </w:pPr>
    <w:rPr>
      <w:rFonts w:ascii="Times New Roman" w:cs="Times New Roman" w:eastAsia="Times New Roman" w:hAnsi="Times New Roman"/>
      <w:sz w:val="24"/>
      <w:szCs w:val="24"/>
      <w:lang w:bidi="ar-SA" w:eastAsia="en-US" w:val="uk-UA"/>
    </w:rPr>
  </w:style>
  <w:style w:type="paragraph" w:styleId="ListParagraph">
    <w:name w:val="List Paragraph"/>
    <w:basedOn w:val="Normal"/>
    <w:uiPriority w:val="1"/>
    <w:qFormat w:val="1"/>
    <w:pPr>
      <w:spacing w:before="137"/>
      <w:ind w:left="2" w:right="135"/>
      <w:jc w:val="both"/>
    </w:pPr>
    <w:rPr>
      <w:rFonts w:ascii="Times New Roman" w:cs="Times New Roman" w:eastAsia="Times New Roman" w:hAnsi="Times New Roman"/>
      <w:lang w:bidi="ar-SA" w:eastAsia="en-US" w:val="uk-UA"/>
    </w:rPr>
  </w:style>
  <w:style w:type="paragraph" w:styleId="TableParagraph">
    <w:name w:val="Table Paragraph"/>
    <w:basedOn w:val="Normal"/>
    <w:uiPriority w:val="1"/>
    <w:qFormat w:val="1"/>
    <w:pPr/>
    <w:rPr>
      <w:lang w:bidi="ar-SA" w:eastAsia="en-US"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2J+mBP2ZIgp4amnXUftKvq3zfQ==">CgMxLjA4AHIhMXNpQkdCWHFSdTktdU9Ia3d4ZVJUWDV5WHZUU1NlS1J6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2026-02-02T18:59:30Z</dcterms:created>
  <dc:creator>Galyna Andriichuk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LTSC</vt:lpwstr>
  </property>
  <property fmtid="{D5CDD505-2E9C-101B-9397-08002B2CF9AE}" pid="4" name="LastSaved">
    <vt:filetime>2026-02-02T00:00:00Z</vt:filetime>
  </property>
  <property fmtid="{D5CDD505-2E9C-101B-9397-08002B2CF9AE}" pid="5" name="Producer">
    <vt:lpwstr>Microsoft® Word LTSC</vt:lpwstr>
  </property>
</Properties>
</file>