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Технічне завдання на закупівлю металевих аптечних боксів першої допомоги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для проєкту Save the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 Оголошення про відкриті торги та запрошення до участі у тендері на закупівлю металевих аптечних боксів першої допомоги від 23 січня 2026 р.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Референс №: TENDER/MK/METALBOXES/2026-01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  <w:tab/>
        <w:t xml:space="preserve">23 січня 2026 року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Загальна інформація про Замовника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ЄДРПОУ 44892289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61022, м. Харків, пр. Незалежності, 5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Дата оголошення: 23 січня 2026 року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Референс №: TENDER/MK/METALBOXES/2026-01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проводиться відповідно до Політики про порядок проведення закупівель Благодійної організації «Благодійний фонд «Місія Харків».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З метою забезпечення прозорості процедура закупівлі додатково публікується на платформі Громадський Простір (Prostir.ua).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Контекст та призначення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Закупівля здійснюється в межах гуманітарного проєкту Save the Workers, спрямованого на підтримку працівників критичної інфраструктури, зокрема шляхом покращення готовності до реагування у надзвичайних ситуаціях та забезпечення доступу до засобів першої допомоги.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Металеві аптечні бокси призначені для: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- розміщення та зберігання наборів першої допомоги у стаціонарних локаціях (приміщення, об’єкти, пункти чергування);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- уніфікації розміщення та маркування аптечок на різних об’єктах;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- швидкого візуального виявлення та доступу до аптечки у разі інциденту;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- експлуатації в умовах інтенсивного використання, у тому числі в осінньо-зимовий період.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Предмет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Металеві аптечні бокси першої допомоги (настінні) - 190 шт, виготовлені, пофарбовані та промарковані відповідно до вимог цього Технічного завдання.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Загальні вимоги до стану та якості товарів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- усі бокси мають бути новими, такими, що не були у використанні, демонстрації або тестовій експлуатації;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- без механічних пошкоджень, деформацій, корозії, дефектів фарбування;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- придатними до використання за призначенням та безпечними в експлуатації (без гострих кромок, задирок, небезпечних виступів);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- поставлятися у комплектності, визначеній цим Технічним завданням.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Технічні та функціональні вимоги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5.1. Тип виробу та конструкція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- металевий бокс (шафка) першої допомоги, настінне виконання;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- дверцята на петлях, з надійною фіксацією в закритому положенні;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- наявність механічного замка та ключів;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- внутрішнє зонування для розміщення вмісту відсутнє (без полиць) з можливістю безпечного зберігання та швидкого доступу.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5.2. Габарити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Базові габаритні розміри (Ш × В × Г): від 300 × 300 × 120 мм.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Щоб не звужувати конкуренцію, допускається еквівалент за умови збереження функціональності, місткості та сумісності з внутрішнім зонуванням.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Учасник повинен застосувати один підхід та відобразити його у своїй пропозиції (у специфікації/кресленні).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  <w:t xml:space="preserve">5.3. Матеріал та товщина металу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Матеріал: сталь (холоднокатана або еквівалентна за властивостями).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Товщина металу корпусу: не менше 0,6 мм (або еквівалентна міцність, підтверджена технічним описом виробника).</w:t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5.4. Покриття та фарбування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Тип покриття: порошкове фарбування або інше зносостійке покриття, придатне для інтенсивної експлуатації.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Колір: помаранчевий RAL 2004. Відступ можливий лише за попереднім письмовим погодженням Замовника (за наявності обґрунтування)..</w:t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5.5. Маркування та світловідбивні елементи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  <w:t xml:space="preserve">Постачальник забезпечує нанесення маркування та елементів візуальної ідентифікації на готовий виріб: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- наліпка з текстом «Перелік складової аптечки» розміром 140 × 70 мм (друк і наклеювання виконує постачальник);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- світловідбивні стрічки зеленого кольору на зовнішній частині боксу відповідно до схеми/макету Замовника;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- зовнішнє позначення аптечки (символ першої допомоги) відповідно до схеми/макету Замовника.</w:t>
      </w:r>
    </w:p>
    <w:p w:rsidR="00000000" w:rsidDel="00000000" w:rsidP="00000000" w:rsidRDefault="00000000" w:rsidRPr="00000000" w14:paraId="00000039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5943600" cy="2717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  <w:t xml:space="preserve">5.6. Комплектність</w:t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- бокс у зібраному стані (якщо інше не погоджено з Замовником);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  <w:t xml:space="preserve">- не менше 2 ключів до кожного замка;</w:t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- внутрішні елементи (полиці/відділення відсутні) згідно конструкції вказаної в цьому технічному завданні;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- можливість настінного монтажу (передбачені отвори/</w:t>
      </w:r>
      <w:r w:rsidDel="00000000" w:rsidR="00000000" w:rsidRPr="00000000">
        <w:rPr>
          <w:rtl w:val="0"/>
        </w:rPr>
        <w:t xml:space="preserve">кріплення в конструкції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Вимоги до безпеки та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  <w:t xml:space="preserve">- виріб має бути безпечним в експлуатації (оброблені кромки, відсутність задирок);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- покриття має бути рівномірним, без відшарувань та підтікань;</w:t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  <w:t xml:space="preserve">- маркування має бути стійким до стирання при стандартній експлуатації.</w:t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Пакування та транспортування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- кожен бокс має бути запакований таким чином, щоб унеможливити пошкодження під час транспортування;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- пакування має забезпечувати збереження геометрії виробу, покриття та маркування;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- у разі групового пакування тара повинна забезпечувати безпечне переміщення та складське зберігання.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Документація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Постачальник зобов’язаний надати: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 xml:space="preserve">- специфікацію/опис виробу із зазначенням габаритів, матеріалу, товщини металу, типу покриття;</w:t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- підтвердження кольору (вказати RAL 2004 у пропозиції) та опис технології фарбування;</w:t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  <w:t xml:space="preserve">- підтвердження виконання маркування (наліпка 140×70 та світловідбивні стрічки) та, за потреби, фото зразка/макета;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- гарантійні умови та строк гарантії.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Принцип еквівалентності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Усі вимоги цього Технічного завдання є мінімальними та функціональними.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Допускається пропозиція еквівалентних виробів, що не є гіршими за сукупністю характеристик, функціонального призначення та якості.</w:t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  <w:t xml:space="preserve">У разі пропозиції еквіваленту учасник зобов’язаний надати технічні описи/специфікації/креслення виробника, що підтверджують відповідність мінімальним вимогам, включно з: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  <w:t xml:space="preserve">- габаритами,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- матеріалом і товщиною металу,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- фарбуванням у RAL 2004,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- наявністю замка та комплекту ключів,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  <w:t xml:space="preserve">- нанесенням наліпки 140×70 та світловідбивних елементів за схемою.</w:t>
      </w:r>
    </w:p>
    <w:p w:rsidR="00000000" w:rsidDel="00000000" w:rsidP="00000000" w:rsidRDefault="00000000" w:rsidRPr="00000000" w14:paraId="0000005A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5943600" cy="2717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Примітка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  <w:t xml:space="preserve">Невідповідність хоча б одному з обов’язкових мінімальних технічних або функціональних вимог цього Технічного завдання є підставою для відхилення тендерної пропозиції як такої, що не відповідає умовам закупівлі.</w:t>
      </w:r>
    </w:p>
    <w:p w:rsidR="00000000" w:rsidDel="00000000" w:rsidP="00000000" w:rsidRDefault="00000000" w:rsidRPr="00000000" w14:paraId="0000005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Контактна інформація та подання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  <w:t xml:space="preserve">Кінцевий термін подання тендерних пропозицій:</w:t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  <w:t xml:space="preserve">30 січня 2026 року, 18:00 (за київським часом)</w:t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  <w:t xml:space="preserve">Email для подання пропозицій:</w:t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  <w:t xml:space="preserve">procurement@missionkharkiv.org</w:t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  <w:t xml:space="preserve">Контактний підрозділ:</w:t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</w:t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  <w:t xml:space="preserve">Відділ закупівлі і логістики</w:t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  <w:t xml:space="preserve">Email: procurement@missionkharkiv.org</w:t>
      </w:r>
    </w:p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  <w:t xml:space="preserve">Телефон: +38 097 671 82 41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