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0B4F6" w14:textId="2A7DE87D" w:rsidR="00D060FD" w:rsidRDefault="00D060FD" w:rsidP="00D060FD">
      <w:pPr>
        <w:spacing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</w:p>
    <w:p w14:paraId="4F871F6D" w14:textId="4C34DDE3" w:rsidR="007508BC" w:rsidRPr="00824197" w:rsidRDefault="007508BC" w:rsidP="00C351CF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36"/>
          <w:lang w:eastAsia="ru-RU"/>
          <w14:ligatures w14:val="none"/>
        </w:rPr>
        <w:t>ОГОЛОШЕННЯ</w:t>
      </w:r>
    </w:p>
    <w:p w14:paraId="0DCD7B5B" w14:textId="6DA2E240" w:rsidR="007508BC" w:rsidRPr="003E268B" w:rsidRDefault="007508BC" w:rsidP="003E268B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про проведення конкурсних торгів</w:t>
      </w:r>
      <w:r w:rsidR="003E268B"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val="ru-RU" w:eastAsia="ru-RU"/>
          <w14:ligatures w14:val="none"/>
        </w:rPr>
        <w:t xml:space="preserve"> </w:t>
      </w:r>
      <w:r w:rsidR="003E268B"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із надання послуг з матеріально-технічного супроводу</w:t>
      </w:r>
      <w:r w:rsid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супервізійних</w:t>
      </w:r>
      <w:proofErr w:type="spellEnd"/>
      <w:r w:rsid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 </w:t>
      </w:r>
      <w:r w:rsidR="003E268B" w:rsidRPr="003E268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з</w:t>
      </w:r>
      <w:r w:rsid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устрічей </w:t>
      </w:r>
      <w:r w:rsidR="00E01324" w:rsidRP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для працівників центрів, </w:t>
      </w:r>
      <w:proofErr w:type="spellStart"/>
      <w:r w:rsidR="00E01324" w:rsidRP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шелтерів</w:t>
      </w:r>
      <w:proofErr w:type="spellEnd"/>
      <w:r w:rsidR="00E01324" w:rsidRP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, служб надання послуг для постраждалих від ГЗН у Київській області</w:t>
      </w:r>
      <w:r w:rsidR="00E01324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.</w:t>
      </w:r>
    </w:p>
    <w:p w14:paraId="54AFE4F8" w14:textId="6DFA5726" w:rsidR="00E47599" w:rsidRPr="00824197" w:rsidRDefault="002D00C8" w:rsidP="00E47599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2</w:t>
      </w:r>
      <w:r w:rsid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7</w:t>
      </w:r>
      <w:r w:rsidR="00E47599" w:rsidRPr="001E65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січня</w:t>
      </w:r>
      <w:r w:rsidR="00E47599" w:rsidRPr="001E657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</w:t>
      </w:r>
      <w:r w:rsid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6</w:t>
      </w:r>
      <w:r w:rsidR="003E268B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року</w:t>
      </w:r>
    </w:p>
    <w:p w14:paraId="1F0214F9" w14:textId="28F72BD7" w:rsidR="007508BC" w:rsidRPr="00F9498F" w:rsidRDefault="007508BC" w:rsidP="00F9498F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Всеукраїнська благодійна організація «КОНВІКТУС УКРАЇНА» (далі – «Організатор») оголошує конкур</w:t>
      </w:r>
      <w:r w:rsidR="00F9498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сні торги (тендер) на </w:t>
      </w:r>
      <w:r w:rsidR="00F9498F" w:rsidRPr="00B2605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надання послуг з матеріально-технічного супроводу </w:t>
      </w:r>
      <w:proofErr w:type="spellStart"/>
      <w:r w:rsidR="00E01324" w:rsidRPr="00B2605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супервізійних</w:t>
      </w:r>
      <w:proofErr w:type="spellEnd"/>
      <w:r w:rsidR="00E01324" w:rsidRPr="00B2605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заходів, які відбудуться у м. Києві</w:t>
      </w:r>
      <w:r w:rsidR="00B2605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протягом лютого-червня 2026 року.</w:t>
      </w:r>
    </w:p>
    <w:p w14:paraId="2BCFA7F9" w14:textId="77777777" w:rsidR="00C92E03" w:rsidRPr="00824197" w:rsidRDefault="00C92E03" w:rsidP="0019072A">
      <w:pPr>
        <w:pStyle w:val="ae"/>
        <w:spacing w:line="276" w:lineRule="auto"/>
        <w:jc w:val="both"/>
        <w:rPr>
          <w:color w:val="000000"/>
        </w:rPr>
      </w:pPr>
      <w:r w:rsidRPr="00824197">
        <w:rPr>
          <w:color w:val="000000"/>
        </w:rPr>
        <w:t xml:space="preserve">Всеукраїнська благодійна організація «КОНВІКТУС УКРАЇНА» — неурядова організація, що здійснює діяльність в Україні з 2006 року та є частиною міжнародної мережі </w:t>
      </w:r>
      <w:proofErr w:type="spellStart"/>
      <w:r w:rsidRPr="00824197">
        <w:rPr>
          <w:color w:val="000000"/>
        </w:rPr>
        <w:t>Convictus</w:t>
      </w:r>
      <w:proofErr w:type="spellEnd"/>
      <w:r w:rsidRPr="00824197">
        <w:rPr>
          <w:color w:val="000000"/>
        </w:rPr>
        <w:t>, яка працює у Швеції, Естонії та Україні.</w:t>
      </w:r>
    </w:p>
    <w:p w14:paraId="265FF1C3" w14:textId="5E4DCBC9" w:rsidR="00C92E03" w:rsidRPr="00824197" w:rsidRDefault="00C92E03" w:rsidP="0019072A">
      <w:pPr>
        <w:pStyle w:val="ae"/>
        <w:spacing w:line="276" w:lineRule="auto"/>
        <w:jc w:val="both"/>
        <w:rPr>
          <w:color w:val="000000"/>
        </w:rPr>
      </w:pPr>
      <w:r w:rsidRPr="00824197">
        <w:rPr>
          <w:color w:val="000000"/>
        </w:rPr>
        <w:t>Організація має понад 18 років досвіду реалізації програм у сфері громадського здоров’я, гуманітарної допомоги та соціальної підтримки у співпраці з державними установами, національними та міжнародними партнерами.</w:t>
      </w:r>
    </w:p>
    <w:p w14:paraId="43623A4B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Джерело фінансування закупівлі</w:t>
      </w:r>
    </w:p>
    <w:p w14:paraId="5C80AFAB" w14:textId="763B93D4" w:rsidR="007508BC" w:rsidRPr="00E01324" w:rsidRDefault="007508BC" w:rsidP="00E01324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Тендер проводиться в межах </w:t>
      </w:r>
      <w:proofErr w:type="spellStart"/>
      <w:r w:rsid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проєкту</w:t>
      </w:r>
      <w:proofErr w:type="spellEnd"/>
      <w:r w:rsid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r w:rsidR="00E01324" w:rsidRP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Послуги з ПЗПП та протидії </w:t>
      </w:r>
      <w:proofErr w:type="spellStart"/>
      <w:r w:rsidR="00E01324" w:rsidRP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ґендерно</w:t>
      </w:r>
      <w:proofErr w:type="spellEnd"/>
      <w:r w:rsidR="00E01324" w:rsidRP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зумовленому насильству для осіб, постраждалих від війни в Київському регіоні: підтримка у надзвичайних ситуаціях та зміцнення стійкості</w:t>
      </w:r>
      <w:r w:rsid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» за фінансування Міжнародного Медичного Корпусу / </w:t>
      </w:r>
      <w:r w:rsidR="00E01324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GIZ</w:t>
      </w:r>
      <w:r w:rsidR="00E0132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4FE01D98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Порядок розрахунків</w:t>
      </w:r>
    </w:p>
    <w:p w14:paraId="146D0C59" w14:textId="081A4FAF" w:rsidR="008F651D" w:rsidRPr="00824197" w:rsidRDefault="008F651D" w:rsidP="00AF54B1">
      <w:pPr>
        <w:pStyle w:val="ae"/>
        <w:spacing w:line="276" w:lineRule="auto"/>
        <w:jc w:val="both"/>
        <w:rPr>
          <w:color w:val="000000"/>
        </w:rPr>
      </w:pPr>
      <w:r w:rsidRPr="00824197">
        <w:rPr>
          <w:color w:val="000000"/>
        </w:rPr>
        <w:t>Розрахунки проводяться у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color w:val="000000"/>
        </w:rPr>
        <w:t>безготівковій формі</w:t>
      </w:r>
      <w:r w:rsidRPr="00824197">
        <w:rPr>
          <w:color w:val="000000"/>
        </w:rPr>
        <w:t>. Базові умови оплати передбачають здійснення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="00007B51">
        <w:rPr>
          <w:rStyle w:val="af"/>
          <w:rFonts w:eastAsiaTheme="majorEastAsia"/>
          <w:color w:val="000000"/>
        </w:rPr>
        <w:t>100</w:t>
      </w:r>
      <w:r w:rsidRPr="00824197">
        <w:rPr>
          <w:rStyle w:val="af"/>
          <w:rFonts w:eastAsiaTheme="majorEastAsia"/>
          <w:color w:val="000000"/>
        </w:rPr>
        <w:t xml:space="preserve">% </w:t>
      </w:r>
      <w:proofErr w:type="spellStart"/>
      <w:r w:rsidRPr="00824197">
        <w:rPr>
          <w:rStyle w:val="af"/>
          <w:rFonts w:eastAsiaTheme="majorEastAsia"/>
          <w:color w:val="000000"/>
        </w:rPr>
        <w:t>післяоплати</w:t>
      </w:r>
      <w:proofErr w:type="spellEnd"/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color w:val="000000"/>
        </w:rPr>
        <w:t xml:space="preserve">після </w:t>
      </w:r>
      <w:r w:rsidR="00AF54B1">
        <w:rPr>
          <w:color w:val="000000"/>
        </w:rPr>
        <w:t>надання</w:t>
      </w:r>
      <w:r w:rsidR="00007B51">
        <w:rPr>
          <w:color w:val="000000"/>
        </w:rPr>
        <w:t xml:space="preserve"> рахунку</w:t>
      </w:r>
      <w:r w:rsidRPr="00824197">
        <w:rPr>
          <w:color w:val="000000"/>
        </w:rPr>
        <w:t xml:space="preserve"> на підставі належним чином оформлених первинних документів.</w:t>
      </w:r>
    </w:p>
    <w:p w14:paraId="367F76D1" w14:textId="2FF45E30" w:rsidR="008F651D" w:rsidRPr="00824197" w:rsidRDefault="008F651D" w:rsidP="0019072A">
      <w:pPr>
        <w:pStyle w:val="ae"/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Разом з тим, умови оплати можуть бути змінені</w:t>
      </w:r>
      <w:r w:rsidRPr="00824197">
        <w:rPr>
          <w:color w:val="000000"/>
        </w:rPr>
        <w:t>, зокрема передбачати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="00007B51">
        <w:rPr>
          <w:rStyle w:val="af"/>
          <w:rFonts w:eastAsiaTheme="majorEastAsia"/>
          <w:color w:val="000000"/>
        </w:rPr>
        <w:t>50% передоплати</w:t>
      </w:r>
      <w:r w:rsidRPr="00824197">
        <w:rPr>
          <w:color w:val="000000"/>
        </w:rPr>
        <w:t>, за умови попереднього письмового погодження Сторін та відображення таких умов у договорі або відповідних додаткових угодах.</w:t>
      </w:r>
    </w:p>
    <w:p w14:paraId="029D396C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Термін постачання</w:t>
      </w:r>
    </w:p>
    <w:p w14:paraId="6E5DD28A" w14:textId="77777777" w:rsidR="00E27B16" w:rsidRDefault="00E01324" w:rsidP="0019072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 лютого по червень</w:t>
      </w:r>
      <w:r w:rsidR="007508BC"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2026 року.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672EA1FA" w14:textId="0C8E7237" w:rsidR="007508BC" w:rsidRDefault="00E01324" w:rsidP="00E27B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27B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Дати</w:t>
      </w:r>
      <w:r w:rsidR="00E27B16" w:rsidRPr="00E27B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проведення</w:t>
      </w:r>
      <w:r w:rsidRPr="00E27B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зустріч</w:t>
      </w:r>
      <w:r w:rsidR="00E27B16" w:rsidRPr="00E27B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ей</w:t>
      </w:r>
      <w:r w:rsidRPr="00E27B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19-20 лютого 2026 року; 12-13 березня</w:t>
      </w:r>
      <w:r w:rsidR="005B274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2026 року; 09-10 та 23-24 квітня 2026 року; 14-15 та 28-29 травня 2026 року; 11-12 червня 2026 року.</w:t>
      </w:r>
    </w:p>
    <w:p w14:paraId="4FC05BD5" w14:textId="5E2D0616" w:rsidR="00E27B16" w:rsidRDefault="00E27B16" w:rsidP="00E27B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27B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>Назва заходів: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«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Супервізійні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заходи для працівників притулків, центрів, служб для жертв гендерного насильства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 («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Supervision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events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for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Gender-Based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Violence-workers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of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shelters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centers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services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for</w:t>
      </w:r>
      <w:proofErr w:type="spellEnd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E27B1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survivors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»).</w:t>
      </w:r>
    </w:p>
    <w:p w14:paraId="004F521D" w14:textId="0E43541A" w:rsidR="00E27B16" w:rsidRPr="00824197" w:rsidRDefault="00E27B16" w:rsidP="00E27B16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27B16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Місце проведення: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м. Київ</w:t>
      </w:r>
      <w:r w:rsidR="007075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(12 учасників на кожному заході</w:t>
      </w:r>
      <w:r w:rsidR="00007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+ 1 </w:t>
      </w:r>
      <w:proofErr w:type="spellStart"/>
      <w:r w:rsidR="00007B5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тренерка</w:t>
      </w:r>
      <w:proofErr w:type="spellEnd"/>
      <w:r w:rsidR="007075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).</w:t>
      </w:r>
    </w:p>
    <w:p w14:paraId="50684F94" w14:textId="40D06D34" w:rsidR="007508BC" w:rsidRPr="00824197" w:rsidRDefault="00E17CD4" w:rsidP="0019072A">
      <w:pPr>
        <w:pStyle w:val="ae"/>
        <w:spacing w:line="276" w:lineRule="auto"/>
        <w:rPr>
          <w:b/>
          <w:bCs/>
        </w:rPr>
      </w:pPr>
      <w:r w:rsidRPr="00824197">
        <w:rPr>
          <w:b/>
          <w:bCs/>
        </w:rPr>
        <w:t>Формування ціни та ПДВ</w:t>
      </w:r>
    </w:p>
    <w:p w14:paraId="17C7622A" w14:textId="420C9B5D" w:rsidR="007508BC" w:rsidRPr="00E27B16" w:rsidRDefault="007508BC" w:rsidP="00E27B16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У зв’язку з тим, що закупівля здійснюється в межах </w:t>
      </w:r>
      <w:r w:rsidR="00236B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даного </w:t>
      </w:r>
      <w:proofErr w:type="spellStart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проєкт</w:t>
      </w:r>
      <w:r w:rsidR="00236B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proofErr w:type="spellEnd"/>
      <w:r w:rsidR="00236B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 фінансової підтримки Міжнародного Медичного Корпусу / </w:t>
      </w:r>
      <w:r w:rsidR="00236B76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GIZ</w:t>
      </w:r>
      <w:r w:rsidR="00236B7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учасник може подати цінову пропозицію як без ПДВ так і з ПДВ</w:t>
      </w:r>
      <w:r w:rsidR="006C4B41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проте перевага буде надаватися пропозиціям без ПДВ.</w:t>
      </w:r>
    </w:p>
    <w:p w14:paraId="32A94CBE" w14:textId="5A6669CD" w:rsidR="00E17CD4" w:rsidRPr="00824197" w:rsidRDefault="00E17CD4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разі перемоги в тендері та укладення договору </w:t>
      </w:r>
      <w:r w:rsidR="009C0E7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підвищення цін на 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послуги допускається не більше ніж на 10%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від ціни, зазначеної у тендерній пропозиції, протягом строку дії договору. У разі необхідності підвищення цін понад 10% Постачальник зобов’язаний не пізніше ніж за 1 місяць до планованої дати підвищення надати Організатору письмове обґрунтування з підтвердженням ринкових коливань (інформація щонайменше від трьох незалежних постачальників аналогічних послуг).</w:t>
      </w:r>
    </w:p>
    <w:p w14:paraId="4B72D22F" w14:textId="4EBB5B22" w:rsidR="00E17CD4" w:rsidRPr="00824197" w:rsidRDefault="00E17CD4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 разі ненадання або неприйнятності такого обґрунтування Організатор має право розірвати договір у встановленому порядку без застосування штрафних санкцій.</w:t>
      </w:r>
    </w:p>
    <w:p w14:paraId="570D9AD5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Кваліфікаційні вимоги до Учасника</w:t>
      </w:r>
    </w:p>
    <w:p w14:paraId="44FF9985" w14:textId="77777777" w:rsidR="00E50C27" w:rsidRPr="00824197" w:rsidRDefault="00E50C27" w:rsidP="0019072A">
      <w:pPr>
        <w:pStyle w:val="ae"/>
        <w:spacing w:line="276" w:lineRule="auto"/>
        <w:rPr>
          <w:color w:val="000000"/>
        </w:rPr>
      </w:pPr>
      <w:r w:rsidRPr="00824197">
        <w:rPr>
          <w:color w:val="000000"/>
        </w:rPr>
        <w:t>Учасник повинен відповідати таким кваліфікаційним вимогам:</w:t>
      </w:r>
    </w:p>
    <w:p w14:paraId="1CB1560B" w14:textId="1A6206E4" w:rsidR="00E50C27" w:rsidRPr="00824197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Право на здійснення господарської діяльності</w:t>
      </w:r>
      <w:r w:rsidR="00E17CD4" w:rsidRPr="00824197">
        <w:rPr>
          <w:color w:val="000000"/>
        </w:rPr>
        <w:t xml:space="preserve">. </w:t>
      </w:r>
      <w:r w:rsidRPr="00824197">
        <w:rPr>
          <w:color w:val="000000"/>
        </w:rPr>
        <w:t>Наявність державної реєстрації юридичної особи або фізичної особи–підприємця відповідно до законодавства України, що підтверджується витягом/випискою з Єдиного державного реєстру.</w:t>
      </w:r>
    </w:p>
    <w:p w14:paraId="5A3E9C7E" w14:textId="799F652C" w:rsidR="00E50C27" w:rsidRPr="00824197" w:rsidRDefault="00E50C27" w:rsidP="009D131B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 xml:space="preserve">Досвід </w:t>
      </w:r>
      <w:r w:rsidR="009D131B">
        <w:rPr>
          <w:rStyle w:val="af"/>
          <w:rFonts w:eastAsiaTheme="majorEastAsia"/>
          <w:color w:val="000000"/>
        </w:rPr>
        <w:t>надання аналогічних послуг</w:t>
      </w:r>
      <w:r w:rsidR="00E17CD4" w:rsidRPr="00824197">
        <w:rPr>
          <w:color w:val="000000"/>
        </w:rPr>
        <w:t xml:space="preserve">. </w:t>
      </w:r>
      <w:r w:rsidRPr="00824197">
        <w:rPr>
          <w:color w:val="000000"/>
        </w:rPr>
        <w:t xml:space="preserve">Наявність підтвердженого досвіду </w:t>
      </w:r>
      <w:r w:rsidR="009D131B">
        <w:rPr>
          <w:color w:val="000000"/>
        </w:rPr>
        <w:t>надання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 xml:space="preserve">аналогічних </w:t>
      </w:r>
      <w:r w:rsidR="009D131B">
        <w:rPr>
          <w:rStyle w:val="af"/>
          <w:rFonts w:eastAsiaTheme="majorEastAsia"/>
          <w:b w:val="0"/>
          <w:bCs w:val="0"/>
          <w:color w:val="000000"/>
        </w:rPr>
        <w:t>послуг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color w:val="000000"/>
        </w:rPr>
        <w:t>протягом останніх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3 (трьох) календарних років</w:t>
      </w:r>
      <w:r w:rsidRPr="00824197">
        <w:rPr>
          <w:b/>
          <w:bCs/>
          <w:color w:val="000000"/>
        </w:rPr>
        <w:t>.</w:t>
      </w:r>
      <w:r w:rsidRPr="00824197">
        <w:rPr>
          <w:b/>
          <w:bCs/>
          <w:color w:val="000000"/>
        </w:rPr>
        <w:br/>
      </w:r>
      <w:r w:rsidRPr="00824197">
        <w:rPr>
          <w:color w:val="000000"/>
        </w:rPr>
        <w:t>Досвід підтверджується копіями договорів, рахунків, актів, видаткових накладних та/або рекомендаційними листами.</w:t>
      </w:r>
    </w:p>
    <w:p w14:paraId="2F0665F7" w14:textId="5E249C7D" w:rsidR="00E50C27" w:rsidRPr="00824197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Спроможність виконання договору</w:t>
      </w:r>
      <w:r w:rsidR="00E17CD4" w:rsidRPr="00824197">
        <w:rPr>
          <w:color w:val="000000"/>
        </w:rPr>
        <w:t xml:space="preserve">. </w:t>
      </w:r>
      <w:r w:rsidRPr="00824197">
        <w:rPr>
          <w:color w:val="000000"/>
        </w:rPr>
        <w:t>Наявність матеріально-технічної бази та організаційної спроможності виконати зобов’язання за договором, що підтверджується довідкою у довільній формі.</w:t>
      </w:r>
    </w:p>
    <w:p w14:paraId="2382868E" w14:textId="0D586300" w:rsidR="00E50C27" w:rsidRPr="00824197" w:rsidRDefault="00E50C27" w:rsidP="009C0E7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Ідентифікація постачальника</w:t>
      </w:r>
      <w:r w:rsidR="00E17CD4" w:rsidRPr="00824197">
        <w:rPr>
          <w:color w:val="000000"/>
        </w:rPr>
        <w:t xml:space="preserve">. </w:t>
      </w:r>
      <w:r w:rsidRPr="00824197">
        <w:rPr>
          <w:color w:val="000000"/>
        </w:rPr>
        <w:t xml:space="preserve">Наявність </w:t>
      </w:r>
      <w:proofErr w:type="spellStart"/>
      <w:r w:rsidRPr="00824197">
        <w:rPr>
          <w:color w:val="000000"/>
        </w:rPr>
        <w:t>вебресурсу</w:t>
      </w:r>
      <w:proofErr w:type="spellEnd"/>
      <w:r w:rsidRPr="00824197">
        <w:rPr>
          <w:color w:val="000000"/>
        </w:rPr>
        <w:t xml:space="preserve"> для ідентифікації діяльності Учасника (офіційний </w:t>
      </w:r>
      <w:proofErr w:type="spellStart"/>
      <w:r w:rsidRPr="00824197">
        <w:rPr>
          <w:color w:val="000000"/>
        </w:rPr>
        <w:t>вебсайт</w:t>
      </w:r>
      <w:proofErr w:type="spellEnd"/>
      <w:r w:rsidRPr="00824197">
        <w:rPr>
          <w:color w:val="000000"/>
        </w:rPr>
        <w:t xml:space="preserve"> та/або офіційна сторінка в соціальних мережах).</w:t>
      </w:r>
    </w:p>
    <w:p w14:paraId="6170B68C" w14:textId="143DFE25" w:rsidR="00E50C27" w:rsidRPr="00824197" w:rsidRDefault="00E50C27" w:rsidP="0019072A">
      <w:pPr>
        <w:pStyle w:val="ae"/>
        <w:numPr>
          <w:ilvl w:val="0"/>
          <w:numId w:val="7"/>
        </w:numPr>
        <w:spacing w:line="276" w:lineRule="auto"/>
        <w:jc w:val="both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Електронний документообіг</w:t>
      </w:r>
      <w:r w:rsidR="00E17CD4" w:rsidRPr="00824197">
        <w:rPr>
          <w:color w:val="000000"/>
        </w:rPr>
        <w:t xml:space="preserve">. </w:t>
      </w:r>
      <w:r w:rsidRPr="00824197">
        <w:rPr>
          <w:color w:val="000000"/>
        </w:rPr>
        <w:t>Готовність Учасника використовувати електронний документообіг, зокрема через сервіс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ВЧАСНО</w:t>
      </w:r>
      <w:r w:rsidRPr="00824197">
        <w:rPr>
          <w:rStyle w:val="apple-converted-space"/>
          <w:rFonts w:eastAsiaTheme="majorEastAsia"/>
          <w:b/>
          <w:bCs/>
          <w:color w:val="000000"/>
        </w:rPr>
        <w:t> </w:t>
      </w:r>
      <w:r w:rsidRPr="00824197">
        <w:rPr>
          <w:color w:val="000000"/>
        </w:rPr>
        <w:t>або еквівалентний сервіс, що відповідає вимогам законодавства України.</w:t>
      </w:r>
    </w:p>
    <w:p w14:paraId="5B1BA0D0" w14:textId="2F5F1C9E" w:rsidR="00E50C27" w:rsidRPr="00824197" w:rsidRDefault="00E50C27" w:rsidP="004105E6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Технічні вимоги до предмета закупівлі</w:t>
      </w:r>
    </w:p>
    <w:p w14:paraId="4BBCC59A" w14:textId="2D59A243" w:rsidR="00CB5786" w:rsidRDefault="00E50C27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320612">
        <w:rPr>
          <w:rStyle w:val="af"/>
          <w:rFonts w:eastAsiaTheme="majorEastAsia"/>
        </w:rPr>
        <w:t>Предмет закупівлі</w:t>
      </w:r>
      <w:r w:rsidR="00E17CD4" w:rsidRPr="00320612">
        <w:t xml:space="preserve">. </w:t>
      </w:r>
      <w:r w:rsidR="00320612">
        <w:t>надання п</w:t>
      </w:r>
      <w:r w:rsidR="009D131B" w:rsidRPr="00320612">
        <w:t>ос</w:t>
      </w:r>
      <w:r w:rsidR="00320612">
        <w:t xml:space="preserve">луг </w:t>
      </w:r>
      <w:r w:rsidR="009D131B" w:rsidRPr="00320612">
        <w:t>матеріальн</w:t>
      </w:r>
      <w:r w:rsidR="00320612">
        <w:t xml:space="preserve">о-технічного супроводу заходів </w:t>
      </w:r>
      <w:r w:rsidR="00CB5786">
        <w:t>у місті Києві (лютий-червень 2026 року)</w:t>
      </w:r>
      <w:r w:rsidR="00B26054">
        <w:t>.</w:t>
      </w:r>
    </w:p>
    <w:p w14:paraId="1AFC4FCD" w14:textId="7988124F" w:rsidR="00CB5786" w:rsidRDefault="00843337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CB5786">
        <w:rPr>
          <w:b/>
          <w:bCs/>
        </w:rPr>
        <w:lastRenderedPageBreak/>
        <w:t xml:space="preserve">Підбір та підготовка місця </w:t>
      </w:r>
      <w:r w:rsidR="006C4B41" w:rsidRPr="00CB5786">
        <w:rPr>
          <w:b/>
          <w:bCs/>
        </w:rPr>
        <w:t xml:space="preserve">для </w:t>
      </w:r>
      <w:r w:rsidRPr="00CB5786">
        <w:rPr>
          <w:b/>
          <w:bCs/>
        </w:rPr>
        <w:t xml:space="preserve">проведення заходів </w:t>
      </w:r>
      <w:r w:rsidR="006C4B41" w:rsidRPr="00CB5786">
        <w:t>(бажано одне місце на усі заходи</w:t>
      </w:r>
      <w:r w:rsidR="00BF5818" w:rsidRPr="00CB5786">
        <w:t xml:space="preserve">, розташування у центрі міста, зручна транспортна </w:t>
      </w:r>
      <w:proofErr w:type="spellStart"/>
      <w:r w:rsidR="00BF5818" w:rsidRPr="00CB5786">
        <w:t>розв</w:t>
      </w:r>
      <w:proofErr w:type="spellEnd"/>
      <w:r w:rsidR="00BF5818" w:rsidRPr="00CB5786">
        <w:rPr>
          <w:lang w:val="en-US"/>
        </w:rPr>
        <w:t>’</w:t>
      </w:r>
      <w:proofErr w:type="spellStart"/>
      <w:r w:rsidR="00BF5818" w:rsidRPr="00CB5786">
        <w:t>язка</w:t>
      </w:r>
      <w:proofErr w:type="spellEnd"/>
      <w:r w:rsidR="00BF5818" w:rsidRPr="00CB5786">
        <w:t>, наявність альтернативних джерел живлення при відключенні світла, наявність укриття в приміщенні або поряд</w:t>
      </w:r>
      <w:r w:rsidR="00B26054">
        <w:t>)</w:t>
      </w:r>
      <w:r w:rsidR="00BF5818" w:rsidRPr="00CB5786">
        <w:t xml:space="preserve">. </w:t>
      </w:r>
    </w:p>
    <w:p w14:paraId="000B8D7D" w14:textId="2CF85336" w:rsidR="00CB5786" w:rsidRDefault="00BF5818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CB5786">
        <w:rPr>
          <w:b/>
          <w:bCs/>
        </w:rPr>
        <w:t xml:space="preserve">Забезпечити поселення </w:t>
      </w:r>
      <w:r w:rsidRPr="00CB5786">
        <w:t>учасників відповідно до запланованого графіку заїзду, перевірку умов проживання в готелі.</w:t>
      </w:r>
    </w:p>
    <w:p w14:paraId="24E51B5C" w14:textId="7F1E264A" w:rsidR="00CB5786" w:rsidRDefault="00BF5818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CB5786">
        <w:rPr>
          <w:b/>
          <w:bCs/>
        </w:rPr>
        <w:t xml:space="preserve">Забезпечити організацію харчування </w:t>
      </w:r>
      <w:r w:rsidRPr="00CB5786">
        <w:t>учасників заходу (кава-бре</w:t>
      </w:r>
      <w:r w:rsidR="00707576" w:rsidRPr="00CB5786">
        <w:t>й</w:t>
      </w:r>
      <w:r w:rsidRPr="00CB5786">
        <w:t>ки, комплексні обіди та вечері); коригування харчування</w:t>
      </w:r>
      <w:r w:rsidR="00B26054">
        <w:t xml:space="preserve"> </w:t>
      </w:r>
      <w:r w:rsidRPr="00CB5786">
        <w:t>у відповідності до змін на заході.</w:t>
      </w:r>
    </w:p>
    <w:p w14:paraId="2B2DAA78" w14:textId="1E00AB43" w:rsidR="00CB5786" w:rsidRDefault="00BF5818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CB5786">
        <w:rPr>
          <w:b/>
          <w:bCs/>
        </w:rPr>
        <w:t xml:space="preserve">Забезпечити оренду залу з необхідним обладнанням </w:t>
      </w:r>
      <w:r w:rsidRPr="00CB5786">
        <w:t xml:space="preserve">(зал на 15 осіб, безперешкодний доступ в приміщення з 09.00-18.00, наявність ноутбуку, колонок, </w:t>
      </w:r>
      <w:r w:rsidR="00707576" w:rsidRPr="00CB5786">
        <w:t>проектору</w:t>
      </w:r>
      <w:r w:rsidRPr="00CB5786">
        <w:t>, мікрофон</w:t>
      </w:r>
      <w:r w:rsidR="00B26054">
        <w:t>у</w:t>
      </w:r>
      <w:r w:rsidRPr="00CB5786">
        <w:t xml:space="preserve">, </w:t>
      </w:r>
      <w:proofErr w:type="spellStart"/>
      <w:r w:rsidRPr="00CB5786">
        <w:t>фліп</w:t>
      </w:r>
      <w:proofErr w:type="spellEnd"/>
      <w:r w:rsidR="00707576" w:rsidRPr="00CB5786">
        <w:t>-</w:t>
      </w:r>
      <w:r w:rsidRPr="00CB5786">
        <w:t>чарту).</w:t>
      </w:r>
    </w:p>
    <w:p w14:paraId="7274C097" w14:textId="224DA228" w:rsidR="00CB5786" w:rsidRDefault="00BF5818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CB5786">
        <w:rPr>
          <w:b/>
          <w:bCs/>
        </w:rPr>
        <w:t xml:space="preserve">Логістичний супровід </w:t>
      </w:r>
      <w:r w:rsidR="00707576" w:rsidRPr="00CB5786">
        <w:rPr>
          <w:b/>
          <w:bCs/>
        </w:rPr>
        <w:t xml:space="preserve">менеджером компанії </w:t>
      </w:r>
      <w:r w:rsidR="00707576" w:rsidRPr="00CB5786">
        <w:t>в перший день заходів (поселення, реєстрація учасників, компенсація транспортних витрат, вирішення організаційних питань</w:t>
      </w:r>
      <w:r w:rsidR="006B1FD0">
        <w:t>, інше</w:t>
      </w:r>
      <w:r w:rsidR="00707576" w:rsidRPr="00CB5786">
        <w:t xml:space="preserve">). </w:t>
      </w:r>
    </w:p>
    <w:p w14:paraId="614FC6B2" w14:textId="34E68A3E" w:rsidR="00CB5786" w:rsidRPr="00CB5786" w:rsidRDefault="00707576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CB5786">
        <w:rPr>
          <w:b/>
          <w:bCs/>
        </w:rPr>
        <w:t xml:space="preserve">Забезпечити логістику учасників заходу та компенсацію </w:t>
      </w:r>
      <w:r w:rsidR="006B1FD0">
        <w:rPr>
          <w:b/>
          <w:bCs/>
        </w:rPr>
        <w:t>транспортних витрат</w:t>
      </w:r>
      <w:r w:rsidRPr="00CB5786">
        <w:rPr>
          <w:b/>
          <w:bCs/>
        </w:rPr>
        <w:t>.</w:t>
      </w:r>
    </w:p>
    <w:p w14:paraId="09E8266D" w14:textId="4C4DD777" w:rsidR="00AD39C0" w:rsidRPr="00CB5786" w:rsidRDefault="00707576" w:rsidP="004105E6">
      <w:pPr>
        <w:pStyle w:val="ae"/>
        <w:numPr>
          <w:ilvl w:val="0"/>
          <w:numId w:val="10"/>
        </w:numPr>
        <w:spacing w:line="276" w:lineRule="auto"/>
        <w:jc w:val="both"/>
      </w:pPr>
      <w:r w:rsidRPr="00CB5786">
        <w:rPr>
          <w:b/>
          <w:bCs/>
        </w:rPr>
        <w:t>Підготовка матеріалів для тренінгу.</w:t>
      </w:r>
    </w:p>
    <w:p w14:paraId="76E656F7" w14:textId="79FCD8A3" w:rsidR="00E17CD4" w:rsidRPr="008C41D9" w:rsidRDefault="00E17CD4" w:rsidP="0019072A">
      <w:pPr>
        <w:pStyle w:val="ae"/>
        <w:spacing w:line="276" w:lineRule="auto"/>
        <w:rPr>
          <w:b/>
          <w:bCs/>
        </w:rPr>
      </w:pPr>
      <w:r w:rsidRPr="008C41D9">
        <w:rPr>
          <w:b/>
          <w:bCs/>
        </w:rPr>
        <w:t xml:space="preserve">Склад тендерної пропозиції </w:t>
      </w:r>
    </w:p>
    <w:p w14:paraId="5D37A801" w14:textId="77777777" w:rsidR="00E17CD4" w:rsidRPr="00824197" w:rsidRDefault="00E17CD4" w:rsidP="0019072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Тендерна пропозиція Учасника подається в електронному вигляді та повинна містити 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наступні обов’язкові документи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:</w:t>
      </w:r>
    </w:p>
    <w:p w14:paraId="3B350A4D" w14:textId="315A8865" w:rsidR="00E17CD4" w:rsidRPr="008926FA" w:rsidRDefault="00E17CD4" w:rsidP="008926F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926F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Тендерна (цінова/комерційна) пропозиція</w:t>
      </w:r>
      <w:r w:rsidRPr="008926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  <w:r w:rsidR="00320612" w:rsidRPr="008926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</w:t>
      </w:r>
      <w:r w:rsidR="00550EA3" w:rsidRPr="008926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повнені та підписані Додатки 1</w:t>
      </w:r>
      <w:r w:rsidR="00742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(Технічне завдання</w:t>
      </w:r>
      <w:r w:rsidR="00B800A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– додається окремим файлом</w:t>
      </w:r>
      <w:r w:rsidR="00742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та Додаток 2 (Загальна інформація)</w:t>
      </w:r>
      <w:r w:rsidR="00320612" w:rsidRPr="008926F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до цього Оголошення.</w:t>
      </w:r>
    </w:p>
    <w:p w14:paraId="374069DA" w14:textId="6CED9819" w:rsidR="00E17CD4" w:rsidRPr="009D131B" w:rsidRDefault="00E17CD4" w:rsidP="00320612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Документи, що підтверджують відповідність кваліфікаційним вимогам.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 xml:space="preserve">Зокрема: документи про державну реєстрацію Учасника; підтвердження досвіду </w:t>
      </w:r>
      <w:r w:rsidR="0032061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надання аналогічних послуг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за останні 3 календарні роки; довідка про матеріально-технічну базу та організаційну спроможні</w:t>
      </w:r>
      <w:r w:rsidR="00320612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сть виконати договір</w:t>
      </w:r>
      <w:r w:rsidR="00742CB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3D29A6E3" w14:textId="7FACA13B" w:rsidR="00E17CD4" w:rsidRPr="00824197" w:rsidRDefault="00E17CD4" w:rsidP="0019072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Підтвердження повноважень підписанта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Документи, що підтверджують право особи підписувати тендерну пропозицію (наказ про призначення керівника або довіреність </w:t>
      </w:r>
      <w:r w:rsidR="00B2605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юридичних осіб).</w:t>
      </w:r>
    </w:p>
    <w:p w14:paraId="19B74F7B" w14:textId="6798AECD" w:rsidR="00E17CD4" w:rsidRPr="008926FA" w:rsidRDefault="00E17CD4" w:rsidP="008926FA">
      <w:pPr>
        <w:numPr>
          <w:ilvl w:val="0"/>
          <w:numId w:val="1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Інші документи (за бажанням Учасника)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Рекомендаційні листи, презентаційні матеріали або інші документи, які Учасник вважає за доцільне надати для кращого розуміння своєї пропозиції (необов’язково).</w:t>
      </w:r>
    </w:p>
    <w:p w14:paraId="5FE6A2AC" w14:textId="4DF5324A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Критерії оцінки</w:t>
      </w:r>
    </w:p>
    <w:p w14:paraId="278FE5C9" w14:textId="00BD0868" w:rsidR="007508BC" w:rsidRPr="00824197" w:rsidRDefault="007508BC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Оцінці підлягають тендерні пропозиції, що відповідають усім вимогам цього Оголошення. Переможець визначається за результатами порівняння цінових пропозицій та відповідності технічним і кваліфікаційним вимогам. Організатор має право запитувати уточнення (</w:t>
      </w:r>
      <w:proofErr w:type="spellStart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clarifications</w:t>
      </w:r>
      <w:proofErr w:type="spellEnd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 які не змінюють суті поданої пропозиції.</w:t>
      </w:r>
    </w:p>
    <w:p w14:paraId="566F201E" w14:textId="77777777" w:rsidR="007508BC" w:rsidRPr="00824197" w:rsidRDefault="007508BC" w:rsidP="0019072A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Антикорупційні та загальні умови</w:t>
      </w:r>
    </w:p>
    <w:p w14:paraId="4C6610D2" w14:textId="5323E76C" w:rsidR="007508BC" w:rsidRPr="00824197" w:rsidRDefault="007508BC" w:rsidP="0019072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lastRenderedPageBreak/>
        <w:t xml:space="preserve">Участь пов’язаних осіб або змова учасників забороняється. 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Організатор залишає за собою право прийняти або відхилити будь-яку пропозицію відповідно до умов цього Оголошення, принципів добросовісної конкуренції, прозорості та ефективного використання коштів (</w:t>
      </w:r>
      <w:proofErr w:type="spellStart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value</w:t>
      </w:r>
      <w:proofErr w:type="spellEnd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for</w:t>
      </w:r>
      <w:proofErr w:type="spellEnd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money</w:t>
      </w:r>
      <w:proofErr w:type="spellEnd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), а також внутрішніх політик і процедур Організації.</w:t>
      </w:r>
    </w:p>
    <w:p w14:paraId="2728EE5C" w14:textId="77777777" w:rsidR="00742CBF" w:rsidRDefault="00EC2BCB" w:rsidP="00EC2BC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Запитання та зверненн</w:t>
      </w:r>
      <w:r w:rsidR="00742CBF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я.</w:t>
      </w:r>
    </w:p>
    <w:p w14:paraId="1F3DE27E" w14:textId="51182AA5" w:rsidR="008F651D" w:rsidRPr="00824197" w:rsidRDefault="007508BC" w:rsidP="00EC2BCB">
      <w:pPr>
        <w:spacing w:before="100" w:beforeAutospacing="1" w:after="100" w:afterAutospacing="1" w:line="276" w:lineRule="auto"/>
        <w:jc w:val="both"/>
        <w:rPr>
          <w:rStyle w:val="af"/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Усі запитання, звернення та запити щодо умов цього тендеру приймаються виключно</w:t>
      </w:r>
      <w:r w:rsidRPr="00824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письмовій формі 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шляхом надсилання електронного листа на адресу:</w:t>
      </w:r>
      <w:r w:rsidRPr="00824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hyperlink r:id="rId5" w:history="1">
        <w:r w:rsidRPr="00824197">
          <w:rPr>
            <w:rStyle w:val="af0"/>
            <w:rFonts w:ascii="Times New Roman" w:eastAsia="Times New Roman" w:hAnsi="Times New Roman" w:cs="Times New Roman"/>
            <w:b/>
            <w:bCs/>
            <w:kern w:val="0"/>
            <w:lang w:eastAsia="ru-RU"/>
            <w14:ligatures w14:val="none"/>
          </w:rPr>
          <w:t>zakupivli@convictus.org.ua</w:t>
        </w:r>
      </w:hyperlink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З метою забезпечення рівного доступу всіх потенційних учасників до інформації Організатор</w:t>
      </w:r>
      <w:r w:rsidRPr="00824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  <w:r w:rsidRPr="0082419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не надає роз’яснень усно або іншими каналами комунікації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 Відповіді на запитання надаються у письмовій формі.</w:t>
      </w:r>
    </w:p>
    <w:p w14:paraId="7CE83DD7" w14:textId="05F4E690" w:rsidR="008F651D" w:rsidRPr="00824197" w:rsidRDefault="008F651D" w:rsidP="0019072A">
      <w:pPr>
        <w:pStyle w:val="ae"/>
        <w:spacing w:line="276" w:lineRule="auto"/>
        <w:rPr>
          <w:color w:val="000000"/>
        </w:rPr>
      </w:pPr>
      <w:r w:rsidRPr="00824197">
        <w:rPr>
          <w:rStyle w:val="af"/>
          <w:rFonts w:eastAsiaTheme="majorEastAsia"/>
          <w:color w:val="000000"/>
        </w:rPr>
        <w:t>Дотримання політик Організатора</w:t>
      </w:r>
    </w:p>
    <w:p w14:paraId="74996533" w14:textId="77777777" w:rsidR="008F651D" w:rsidRPr="00824197" w:rsidRDefault="008F651D" w:rsidP="0019072A">
      <w:pPr>
        <w:pStyle w:val="ae"/>
        <w:spacing w:line="276" w:lineRule="auto"/>
        <w:jc w:val="both"/>
        <w:rPr>
          <w:color w:val="000000"/>
        </w:rPr>
      </w:pPr>
      <w:r w:rsidRPr="00824197">
        <w:rPr>
          <w:color w:val="000000"/>
        </w:rPr>
        <w:t>Поданням тендерної пропозиції Учасник підтверджує свою згоду з тим, що у разі визначення його переможцем закупівлі він буде зобов’язаний дотримуватися внутрішніх політик і процедур Організатора, зокрема політик у сфері етики та доброчесності, запобігання корупції, конфлікту інтересів, а також політики запобігання сексуальній експлуатації та насильству (PSEA/СЄН).</w:t>
      </w:r>
    </w:p>
    <w:p w14:paraId="291F7DCB" w14:textId="4023DA9F" w:rsidR="007508BC" w:rsidRPr="00824197" w:rsidRDefault="008F651D" w:rsidP="00DE437D">
      <w:pPr>
        <w:pStyle w:val="ae"/>
        <w:spacing w:line="276" w:lineRule="auto"/>
        <w:jc w:val="both"/>
        <w:rPr>
          <w:rStyle w:val="af"/>
          <w:b w:val="0"/>
          <w:bCs w:val="0"/>
          <w:color w:val="000000"/>
        </w:rPr>
      </w:pPr>
      <w:r w:rsidRPr="00824197">
        <w:rPr>
          <w:color w:val="000000"/>
        </w:rPr>
        <w:t>Детальні положення відповідних політик та конкретні зобов’язання Постачальника визначаються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у договорі</w:t>
      </w:r>
      <w:r w:rsidRPr="00824197">
        <w:rPr>
          <w:b/>
          <w:bCs/>
          <w:color w:val="000000"/>
        </w:rPr>
        <w:t>,</w:t>
      </w:r>
      <w:r w:rsidRPr="00824197">
        <w:rPr>
          <w:color w:val="000000"/>
        </w:rPr>
        <w:t xml:space="preserve"> який укладається з переможцем тендеру.</w:t>
      </w:r>
    </w:p>
    <w:p w14:paraId="2821DF81" w14:textId="6234B4F1" w:rsidR="007508BC" w:rsidRPr="00824197" w:rsidRDefault="007508BC" w:rsidP="00DE437D">
      <w:pPr>
        <w:pStyle w:val="ae"/>
        <w:spacing w:line="276" w:lineRule="auto"/>
        <w:rPr>
          <w:b/>
          <w:bCs/>
          <w:color w:val="000000"/>
        </w:rPr>
      </w:pPr>
      <w:r w:rsidRPr="00824197">
        <w:rPr>
          <w:b/>
          <w:bCs/>
          <w:color w:val="000000"/>
        </w:rPr>
        <w:t>Право на скасування тендеру</w:t>
      </w:r>
      <w:r w:rsidRPr="00824197">
        <w:rPr>
          <w:color w:val="000000"/>
        </w:rPr>
        <w:br/>
        <w:t>Організатор залишає за собою право</w:t>
      </w:r>
      <w:r w:rsidRPr="00824197">
        <w:t> скасувати або анулювати тендер повністю або частково на будь-якому етапі його проведення </w:t>
      </w:r>
      <w:r w:rsidRPr="00824197">
        <w:rPr>
          <w:color w:val="000000"/>
        </w:rPr>
        <w:t>у разі зміни потреб, умов фінансування, обставин непереборної сили або з інших обґрунтованих причин.</w:t>
      </w:r>
    </w:p>
    <w:p w14:paraId="49D46899" w14:textId="44753D9F" w:rsidR="007508BC" w:rsidRPr="00824197" w:rsidRDefault="007508BC" w:rsidP="00DE437D">
      <w:pPr>
        <w:pStyle w:val="ae"/>
        <w:spacing w:line="276" w:lineRule="auto"/>
        <w:jc w:val="both"/>
        <w:rPr>
          <w:color w:val="000000"/>
        </w:rPr>
      </w:pPr>
      <w:r w:rsidRPr="00824197">
        <w:rPr>
          <w:color w:val="000000"/>
        </w:rPr>
        <w:t>У такому випадку Організатор</w:t>
      </w:r>
      <w:r w:rsidRPr="00824197">
        <w:rPr>
          <w:rStyle w:val="apple-converted-space"/>
          <w:rFonts w:eastAsiaTheme="majorEastAsia"/>
          <w:color w:val="000000"/>
        </w:rPr>
        <w:t> </w:t>
      </w:r>
      <w:r w:rsidRPr="00824197">
        <w:rPr>
          <w:rStyle w:val="af"/>
          <w:rFonts w:eastAsiaTheme="majorEastAsia"/>
          <w:b w:val="0"/>
          <w:bCs w:val="0"/>
          <w:color w:val="000000"/>
        </w:rPr>
        <w:t>не несе відповідальності за будь-які витрати</w:t>
      </w:r>
      <w:r w:rsidRPr="00824197">
        <w:rPr>
          <w:color w:val="000000"/>
        </w:rPr>
        <w:t>, понесені Учасниками у зв’язку з підготовкою та поданням тендерних пропозицій, за умови дотримання принципів прозорості та добросовісності.</w:t>
      </w:r>
    </w:p>
    <w:p w14:paraId="02A0328B" w14:textId="77777777" w:rsidR="007508BC" w:rsidRPr="00824197" w:rsidRDefault="007508BC" w:rsidP="00DE437D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Кінцевий термін подання пропозицій</w:t>
      </w:r>
    </w:p>
    <w:p w14:paraId="56BFAFB9" w14:textId="4D622E05" w:rsidR="007508BC" w:rsidRPr="00CB5786" w:rsidRDefault="002D00C8" w:rsidP="00DE437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0</w:t>
      </w:r>
      <w:r w:rsidR="009B7BB9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="00742CB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лютого</w:t>
      </w:r>
      <w:r w:rsidR="00030D5B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2026</w:t>
      </w:r>
      <w:r w:rsidR="007508BC" w:rsidRPr="001E657F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року</w:t>
      </w:r>
      <w:r w:rsidR="007508BC"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, до 18:00 за київським часом.</w:t>
      </w:r>
    </w:p>
    <w:p w14:paraId="1DE05D74" w14:textId="188C732A" w:rsidR="00AD39C0" w:rsidRPr="00D82DE0" w:rsidRDefault="007508BC" w:rsidP="00DE437D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Тендерні пропозиції подаються в електронному вигляді (PDF/</w:t>
      </w:r>
      <w:proofErr w:type="spellStart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скан</w:t>
      </w:r>
      <w:proofErr w:type="spellEnd"/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) на адресу: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</w:r>
      <w:r w:rsidRPr="00824197">
        <w:rPr>
          <w:rFonts w:ascii="Segoe UI Symbol" w:eastAsia="Times New Roman" w:hAnsi="Segoe UI Symbol" w:cs="Segoe UI Symbol"/>
          <w:color w:val="000000"/>
          <w:kern w:val="0"/>
          <w:lang w:eastAsia="ru-RU"/>
          <w14:ligatures w14:val="none"/>
        </w:rPr>
        <w:t>📧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 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zakupivli@convictus.org.ua</w:t>
      </w:r>
      <w:r w:rsidRPr="00824197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br/>
        <w:t>Тема листа: </w:t>
      </w:r>
      <w:r w:rsidRPr="00824197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(тендер) на </w:t>
      </w:r>
      <w:r w:rsidR="008926FA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закупівлю послуг з матеріально-технічного супроводу заходів</w:t>
      </w:r>
      <w:r w:rsidR="006C4B41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у м. Києві</w:t>
      </w:r>
    </w:p>
    <w:p w14:paraId="11F41157" w14:textId="77777777" w:rsidR="00E17CD4" w:rsidRPr="00824197" w:rsidRDefault="00E17CD4" w:rsidP="0019072A">
      <w:pPr>
        <w:widowControl w:val="0"/>
        <w:tabs>
          <w:tab w:val="right" w:pos="8640"/>
        </w:tabs>
        <w:spacing w:line="276" w:lineRule="auto"/>
        <w:rPr>
          <w:rFonts w:ascii="Times New Roman" w:eastAsia="Century Gothic" w:hAnsi="Times New Roman" w:cs="Times New Roman"/>
          <w:b/>
          <w:color w:val="000000" w:themeColor="text1"/>
        </w:rPr>
      </w:pPr>
    </w:p>
    <w:p w14:paraId="3C138B68" w14:textId="491DC662" w:rsidR="00E17CD4" w:rsidRPr="00AF7F22" w:rsidRDefault="00AD39C0" w:rsidP="00AF7F22">
      <w:pPr>
        <w:widowControl w:val="0"/>
        <w:tabs>
          <w:tab w:val="right" w:pos="8640"/>
        </w:tabs>
        <w:spacing w:line="276" w:lineRule="auto"/>
        <w:jc w:val="center"/>
        <w:rPr>
          <w:rFonts w:ascii="Times New Roman" w:eastAsia="Century Gothic" w:hAnsi="Times New Roman" w:cs="Times New Roman"/>
          <w:color w:val="000000" w:themeColor="text1"/>
        </w:rPr>
      </w:pPr>
      <w:r>
        <w:rPr>
          <w:rFonts w:ascii="Times New Roman" w:eastAsia="Century Gothic" w:hAnsi="Times New Roman" w:cs="Times New Roman"/>
          <w:b/>
          <w:color w:val="000000" w:themeColor="text1"/>
        </w:rPr>
        <w:t xml:space="preserve">Додаток </w:t>
      </w:r>
      <w:r w:rsidR="00B800AA">
        <w:rPr>
          <w:rFonts w:ascii="Times New Roman" w:eastAsia="Century Gothic" w:hAnsi="Times New Roman" w:cs="Times New Roman"/>
          <w:b/>
          <w:color w:val="000000" w:themeColor="text1"/>
        </w:rPr>
        <w:t xml:space="preserve">2 </w:t>
      </w:r>
      <w:r w:rsidR="00E17CD4" w:rsidRPr="00824197">
        <w:rPr>
          <w:rFonts w:ascii="Times New Roman" w:eastAsia="Century Gothic" w:hAnsi="Times New Roman" w:cs="Times New Roman"/>
          <w:b/>
          <w:color w:val="000000" w:themeColor="text1"/>
        </w:rPr>
        <w:t>до Тендерної пропозиції</w:t>
      </w:r>
      <w:r w:rsidR="00AF7F22">
        <w:rPr>
          <w:rFonts w:ascii="Times New Roman" w:eastAsia="Century Gothic" w:hAnsi="Times New Roman" w:cs="Times New Roman"/>
          <w:color w:val="000000" w:themeColor="text1"/>
        </w:rPr>
        <w:t xml:space="preserve"> </w:t>
      </w:r>
      <w:r w:rsidR="00AF7F22" w:rsidRPr="008926FA">
        <w:rPr>
          <w:rFonts w:ascii="Times New Roman" w:eastAsia="Century Gothic" w:hAnsi="Times New Roman" w:cs="Times New Roman"/>
          <w:b/>
          <w:bCs/>
          <w:color w:val="000000" w:themeColor="text1"/>
        </w:rPr>
        <w:t>на</w:t>
      </w:r>
      <w:r w:rsidR="00AF7F22">
        <w:rPr>
          <w:rFonts w:ascii="Times New Roman" w:eastAsia="Century Gothic" w:hAnsi="Times New Roman" w:cs="Times New Roman"/>
          <w:color w:val="000000" w:themeColor="text1"/>
        </w:rPr>
        <w:t xml:space="preserve"> </w:t>
      </w:r>
      <w:r>
        <w:rPr>
          <w:rFonts w:ascii="Times New Roman" w:eastAsia="Century Gothic" w:hAnsi="Times New Roman" w:cs="Times New Roman"/>
          <w:b/>
          <w:color w:val="000000" w:themeColor="text1"/>
        </w:rPr>
        <w:t>надання послуг з матеріально-технічного супроводу заходів.</w:t>
      </w:r>
    </w:p>
    <w:p w14:paraId="675AA6C8" w14:textId="3F77B93B" w:rsidR="00AD39C0" w:rsidRPr="00AD39C0" w:rsidRDefault="00AD39C0" w:rsidP="0019072A">
      <w:pPr>
        <w:keepNext/>
        <w:spacing w:before="240" w:after="60" w:line="276" w:lineRule="auto"/>
        <w:jc w:val="center"/>
        <w:rPr>
          <w:rFonts w:ascii="Times New Roman" w:eastAsia="Century Gothic" w:hAnsi="Times New Roman" w:cs="Times New Roman"/>
          <w:b/>
          <w:color w:val="000000" w:themeColor="text1"/>
        </w:rPr>
      </w:pPr>
      <w:r>
        <w:rPr>
          <w:rFonts w:ascii="Times New Roman" w:eastAsia="Century Gothic" w:hAnsi="Times New Roman" w:cs="Times New Roman"/>
          <w:b/>
          <w:color w:val="000000" w:themeColor="text1"/>
        </w:rPr>
        <w:lastRenderedPageBreak/>
        <w:t>Загальна інформація</w:t>
      </w:r>
    </w:p>
    <w:p w14:paraId="54D7EFAB" w14:textId="77777777" w:rsidR="00E17CD4" w:rsidRPr="00824197" w:rsidRDefault="00E17CD4" w:rsidP="0019072A">
      <w:pPr>
        <w:widowControl w:val="0"/>
        <w:spacing w:line="276" w:lineRule="auto"/>
        <w:ind w:firstLine="540"/>
        <w:rPr>
          <w:rFonts w:ascii="Times New Roman" w:eastAsia="Century Gothic" w:hAnsi="Times New Roman" w:cs="Times New Roman"/>
          <w:color w:val="000000" w:themeColor="text1"/>
        </w:rPr>
      </w:pPr>
    </w:p>
    <w:p w14:paraId="7B12599F" w14:textId="77777777" w:rsidR="00E17CD4" w:rsidRPr="00824197" w:rsidRDefault="00E17CD4" w:rsidP="0019072A">
      <w:pPr>
        <w:widowControl w:val="0"/>
        <w:tabs>
          <w:tab w:val="left" w:pos="5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>Будь ласка, заповніть таблицю нижче</w:t>
      </w:r>
    </w:p>
    <w:p w14:paraId="000A7FA0" w14:textId="77777777" w:rsidR="00E17CD4" w:rsidRPr="00824197" w:rsidRDefault="00E17CD4" w:rsidP="00EB098A">
      <w:pPr>
        <w:widowControl w:val="0"/>
        <w:spacing w:line="276" w:lineRule="auto"/>
        <w:rPr>
          <w:rFonts w:ascii="Times New Roman" w:eastAsia="Century Gothic" w:hAnsi="Times New Roman" w:cs="Times New Roman"/>
          <w:color w:val="000000" w:themeColor="text1"/>
        </w:rPr>
      </w:pPr>
    </w:p>
    <w:tbl>
      <w:tblPr>
        <w:tblW w:w="9540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126"/>
        <w:gridCol w:w="3766"/>
      </w:tblGrid>
      <w:tr w:rsidR="00E17CD4" w:rsidRPr="00824197" w14:paraId="5C514634" w14:textId="77777777" w:rsidTr="00320612">
        <w:tc>
          <w:tcPr>
            <w:tcW w:w="648" w:type="dxa"/>
          </w:tcPr>
          <w:p w14:paraId="2DCEBE8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1.</w:t>
            </w:r>
          </w:p>
        </w:tc>
        <w:tc>
          <w:tcPr>
            <w:tcW w:w="5126" w:type="dxa"/>
          </w:tcPr>
          <w:p w14:paraId="6F70B4C9" w14:textId="14BC3D02" w:rsidR="00E17CD4" w:rsidRPr="00AD39C0" w:rsidRDefault="00AD39C0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</w:rPr>
              <w:t>Повна назва компанії</w:t>
            </w:r>
          </w:p>
        </w:tc>
        <w:tc>
          <w:tcPr>
            <w:tcW w:w="3766" w:type="dxa"/>
          </w:tcPr>
          <w:p w14:paraId="51D465C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3438968B" w14:textId="77777777" w:rsidTr="00320612">
        <w:tc>
          <w:tcPr>
            <w:tcW w:w="648" w:type="dxa"/>
          </w:tcPr>
          <w:p w14:paraId="34FF1A99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2.</w:t>
            </w:r>
          </w:p>
        </w:tc>
        <w:tc>
          <w:tcPr>
            <w:tcW w:w="5126" w:type="dxa"/>
          </w:tcPr>
          <w:p w14:paraId="39AC3407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Юридична адреса учасника</w:t>
            </w:r>
          </w:p>
        </w:tc>
        <w:tc>
          <w:tcPr>
            <w:tcW w:w="3766" w:type="dxa"/>
          </w:tcPr>
          <w:p w14:paraId="1E54BF38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0395388C" w14:textId="77777777" w:rsidTr="00320612">
        <w:tc>
          <w:tcPr>
            <w:tcW w:w="648" w:type="dxa"/>
          </w:tcPr>
          <w:p w14:paraId="79F42C1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3.</w:t>
            </w:r>
          </w:p>
        </w:tc>
        <w:tc>
          <w:tcPr>
            <w:tcW w:w="5126" w:type="dxa"/>
          </w:tcPr>
          <w:p w14:paraId="274D114E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Фактична адреса учасника</w:t>
            </w:r>
          </w:p>
        </w:tc>
        <w:tc>
          <w:tcPr>
            <w:tcW w:w="3766" w:type="dxa"/>
          </w:tcPr>
          <w:p w14:paraId="529D9CC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0CDD969A" w14:textId="77777777" w:rsidTr="00320612">
        <w:tc>
          <w:tcPr>
            <w:tcW w:w="648" w:type="dxa"/>
          </w:tcPr>
          <w:p w14:paraId="0EA6FEB2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4</w:t>
            </w:r>
          </w:p>
        </w:tc>
        <w:tc>
          <w:tcPr>
            <w:tcW w:w="5126" w:type="dxa"/>
          </w:tcPr>
          <w:p w14:paraId="3785B01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Електронна пошта</w:t>
            </w:r>
          </w:p>
        </w:tc>
        <w:tc>
          <w:tcPr>
            <w:tcW w:w="3766" w:type="dxa"/>
          </w:tcPr>
          <w:p w14:paraId="1EC1D38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2159564E" w14:textId="77777777" w:rsidTr="00320612">
        <w:tc>
          <w:tcPr>
            <w:tcW w:w="648" w:type="dxa"/>
          </w:tcPr>
          <w:p w14:paraId="2BE7454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5</w:t>
            </w:r>
          </w:p>
        </w:tc>
        <w:tc>
          <w:tcPr>
            <w:tcW w:w="5126" w:type="dxa"/>
          </w:tcPr>
          <w:p w14:paraId="6259522A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Керівник компанії: посада, ПІБ</w:t>
            </w:r>
          </w:p>
        </w:tc>
        <w:tc>
          <w:tcPr>
            <w:tcW w:w="3766" w:type="dxa"/>
          </w:tcPr>
          <w:p w14:paraId="17B1F6E4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3E35D96B" w14:textId="77777777" w:rsidTr="00320612">
        <w:tc>
          <w:tcPr>
            <w:tcW w:w="648" w:type="dxa"/>
          </w:tcPr>
          <w:p w14:paraId="7B50C121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6</w:t>
            </w:r>
          </w:p>
        </w:tc>
        <w:tc>
          <w:tcPr>
            <w:tcW w:w="5126" w:type="dxa"/>
          </w:tcPr>
          <w:p w14:paraId="640E042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 xml:space="preserve">Контактний номер телефону керівника </w:t>
            </w:r>
          </w:p>
        </w:tc>
        <w:tc>
          <w:tcPr>
            <w:tcW w:w="3766" w:type="dxa"/>
          </w:tcPr>
          <w:p w14:paraId="08C30F7D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2114FD54" w14:textId="77777777" w:rsidTr="00320612">
        <w:tc>
          <w:tcPr>
            <w:tcW w:w="648" w:type="dxa"/>
          </w:tcPr>
          <w:p w14:paraId="32E2C1C0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7</w:t>
            </w:r>
          </w:p>
        </w:tc>
        <w:tc>
          <w:tcPr>
            <w:tcW w:w="5126" w:type="dxa"/>
          </w:tcPr>
          <w:p w14:paraId="402FC17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Контактна особа з питань подання Заявки</w:t>
            </w:r>
          </w:p>
        </w:tc>
        <w:tc>
          <w:tcPr>
            <w:tcW w:w="3766" w:type="dxa"/>
          </w:tcPr>
          <w:p w14:paraId="031D9620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06DFE978" w14:textId="77777777" w:rsidTr="00320612">
        <w:tc>
          <w:tcPr>
            <w:tcW w:w="648" w:type="dxa"/>
          </w:tcPr>
          <w:p w14:paraId="3D473FB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8</w:t>
            </w:r>
          </w:p>
        </w:tc>
        <w:tc>
          <w:tcPr>
            <w:tcW w:w="5126" w:type="dxa"/>
          </w:tcPr>
          <w:p w14:paraId="7164CCF6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Номер телефону контактної особи</w:t>
            </w:r>
          </w:p>
        </w:tc>
        <w:tc>
          <w:tcPr>
            <w:tcW w:w="3766" w:type="dxa"/>
          </w:tcPr>
          <w:p w14:paraId="4317E603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78CF0296" w14:textId="77777777" w:rsidTr="00320612">
        <w:tc>
          <w:tcPr>
            <w:tcW w:w="648" w:type="dxa"/>
          </w:tcPr>
          <w:p w14:paraId="570C550B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9</w:t>
            </w:r>
          </w:p>
        </w:tc>
        <w:tc>
          <w:tcPr>
            <w:tcW w:w="5126" w:type="dxa"/>
          </w:tcPr>
          <w:p w14:paraId="0F276688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Наявні технічні можливості</w:t>
            </w:r>
          </w:p>
        </w:tc>
        <w:tc>
          <w:tcPr>
            <w:tcW w:w="3766" w:type="dxa"/>
          </w:tcPr>
          <w:p w14:paraId="75953995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784322F9" w14:textId="77777777" w:rsidTr="00320612">
        <w:tc>
          <w:tcPr>
            <w:tcW w:w="648" w:type="dxa"/>
          </w:tcPr>
          <w:p w14:paraId="38A31F44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10</w:t>
            </w:r>
          </w:p>
        </w:tc>
        <w:tc>
          <w:tcPr>
            <w:tcW w:w="5126" w:type="dxa"/>
          </w:tcPr>
          <w:p w14:paraId="64F34765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Кількість персоналу</w:t>
            </w:r>
          </w:p>
        </w:tc>
        <w:tc>
          <w:tcPr>
            <w:tcW w:w="3766" w:type="dxa"/>
          </w:tcPr>
          <w:p w14:paraId="6406E9C5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5727FE27" w14:textId="77777777" w:rsidTr="00320612">
        <w:tc>
          <w:tcPr>
            <w:tcW w:w="648" w:type="dxa"/>
          </w:tcPr>
          <w:p w14:paraId="42A1A6B0" w14:textId="27B6151E" w:rsidR="00E17CD4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>
              <w:rPr>
                <w:rFonts w:ascii="Times New Roman" w:eastAsia="Century Gothic" w:hAnsi="Times New Roman" w:cs="Times New Roman"/>
                <w:color w:val="000000" w:themeColor="text1"/>
              </w:rPr>
              <w:t>13</w:t>
            </w:r>
          </w:p>
        </w:tc>
        <w:tc>
          <w:tcPr>
            <w:tcW w:w="5126" w:type="dxa"/>
          </w:tcPr>
          <w:p w14:paraId="4E848DEC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824197">
              <w:rPr>
                <w:rFonts w:ascii="Times New Roman" w:eastAsia="Century Gothic" w:hAnsi="Times New Roman" w:cs="Times New Roman"/>
                <w:color w:val="000000" w:themeColor="text1"/>
              </w:rPr>
              <w:t>Банківські реквізити</w:t>
            </w:r>
          </w:p>
        </w:tc>
        <w:tc>
          <w:tcPr>
            <w:tcW w:w="3766" w:type="dxa"/>
          </w:tcPr>
          <w:p w14:paraId="4E45645C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101E8759" w14:textId="77777777" w:rsidTr="00320612">
        <w:tc>
          <w:tcPr>
            <w:tcW w:w="648" w:type="dxa"/>
          </w:tcPr>
          <w:p w14:paraId="344E0B1D" w14:textId="4C2575D5" w:rsidR="00E17CD4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</w:rPr>
              <w:t>16</w:t>
            </w:r>
          </w:p>
        </w:tc>
        <w:tc>
          <w:tcPr>
            <w:tcW w:w="5126" w:type="dxa"/>
          </w:tcPr>
          <w:p w14:paraId="310D356C" w14:textId="7E211A42" w:rsidR="00E17CD4" w:rsidRPr="00AF7F22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proofErr w:type="spellStart"/>
            <w:r w:rsidRPr="00AF7F22">
              <w:rPr>
                <w:rFonts w:ascii="Times New Roman" w:eastAsia="Century Gothic" w:hAnsi="Times New Roman" w:cs="Times New Roman"/>
                <w:color w:val="000000" w:themeColor="text1"/>
              </w:rPr>
              <w:t>Вебресурс</w:t>
            </w:r>
            <w:proofErr w:type="spellEnd"/>
            <w:r w:rsidRPr="00AF7F22">
              <w:rPr>
                <w:rFonts w:ascii="Times New Roman" w:eastAsia="Century Gothic" w:hAnsi="Times New Roman" w:cs="Times New Roman"/>
                <w:color w:val="000000" w:themeColor="text1"/>
              </w:rPr>
              <w:t xml:space="preserve"> (сайт, маркет – </w:t>
            </w:r>
            <w:proofErr w:type="spellStart"/>
            <w:r w:rsidRPr="00AF7F22">
              <w:rPr>
                <w:rFonts w:ascii="Times New Roman" w:eastAsia="Century Gothic" w:hAnsi="Times New Roman" w:cs="Times New Roman"/>
                <w:color w:val="000000" w:themeColor="text1"/>
              </w:rPr>
              <w:t>плейс</w:t>
            </w:r>
            <w:proofErr w:type="spellEnd"/>
            <w:r w:rsidRPr="00AF7F22">
              <w:rPr>
                <w:rFonts w:ascii="Times New Roman" w:eastAsia="Century Gothic" w:hAnsi="Times New Roman" w:cs="Times New Roman"/>
                <w:color w:val="000000" w:themeColor="text1"/>
              </w:rPr>
              <w:t xml:space="preserve"> учасника)</w:t>
            </w:r>
          </w:p>
        </w:tc>
        <w:tc>
          <w:tcPr>
            <w:tcW w:w="3766" w:type="dxa"/>
          </w:tcPr>
          <w:p w14:paraId="62C73A90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  <w:tr w:rsidR="00E17CD4" w:rsidRPr="00824197" w14:paraId="4B7E42D5" w14:textId="77777777" w:rsidTr="00320612">
        <w:tc>
          <w:tcPr>
            <w:tcW w:w="648" w:type="dxa"/>
          </w:tcPr>
          <w:p w14:paraId="7E3B1D6C" w14:textId="58698DC9" w:rsidR="00E17CD4" w:rsidRPr="00AF7F22" w:rsidRDefault="00AF7F22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</w:rPr>
              <w:t>17</w:t>
            </w:r>
          </w:p>
        </w:tc>
        <w:tc>
          <w:tcPr>
            <w:tcW w:w="5126" w:type="dxa"/>
          </w:tcPr>
          <w:p w14:paraId="3CE4AC00" w14:textId="77777777" w:rsidR="00E17CD4" w:rsidRPr="00AF7F22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  <w:r w:rsidRPr="00AF7F22">
              <w:rPr>
                <w:rFonts w:ascii="Times New Roman" w:eastAsia="Century Gothic" w:hAnsi="Times New Roman" w:cs="Times New Roman"/>
                <w:color w:val="000000" w:themeColor="text1"/>
              </w:rPr>
              <w:t>Наявний досвід</w:t>
            </w:r>
          </w:p>
        </w:tc>
        <w:tc>
          <w:tcPr>
            <w:tcW w:w="3766" w:type="dxa"/>
          </w:tcPr>
          <w:p w14:paraId="2BA747E7" w14:textId="77777777" w:rsidR="00E17CD4" w:rsidRPr="00824197" w:rsidRDefault="00E17CD4" w:rsidP="0019072A">
            <w:pPr>
              <w:widowControl w:val="0"/>
              <w:spacing w:line="276" w:lineRule="auto"/>
              <w:rPr>
                <w:rFonts w:ascii="Times New Roman" w:eastAsia="Century Gothic" w:hAnsi="Times New Roman" w:cs="Times New Roman"/>
                <w:color w:val="000000" w:themeColor="text1"/>
              </w:rPr>
            </w:pPr>
          </w:p>
        </w:tc>
      </w:tr>
    </w:tbl>
    <w:p w14:paraId="45D6BE05" w14:textId="77777777" w:rsidR="00E17CD4" w:rsidRPr="00824197" w:rsidRDefault="00E17CD4" w:rsidP="0019072A">
      <w:pPr>
        <w:widowControl w:val="0"/>
        <w:spacing w:line="276" w:lineRule="auto"/>
        <w:ind w:firstLine="540"/>
        <w:rPr>
          <w:rFonts w:ascii="Times New Roman" w:eastAsia="Century Gothic" w:hAnsi="Times New Roman" w:cs="Times New Roman"/>
          <w:color w:val="000000" w:themeColor="text1"/>
        </w:rPr>
      </w:pPr>
    </w:p>
    <w:p w14:paraId="5A449B15" w14:textId="4FDA01F1" w:rsidR="00E17CD4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599D1A1A" w14:textId="77777777" w:rsidR="00AF7F22" w:rsidRPr="00AF7F22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14FE6998" w14:textId="63C49737" w:rsidR="00E17CD4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>
        <w:rPr>
          <w:rFonts w:ascii="Times New Roman" w:eastAsia="Century Gothic" w:hAnsi="Times New Roman" w:cs="Times New Roman"/>
          <w:color w:val="000000" w:themeColor="text1"/>
        </w:rPr>
        <w:t>Інша додаткова інформація___________________________________________________</w:t>
      </w:r>
    </w:p>
    <w:p w14:paraId="07EA081A" w14:textId="38458F3C" w:rsidR="00AF7F22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5F94B6B4" w14:textId="77777777" w:rsidR="00AF7F22" w:rsidRPr="00AF7F22" w:rsidRDefault="00AF7F22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7F25B472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>Дата: ________________ 202__ р.</w:t>
      </w:r>
    </w:p>
    <w:p w14:paraId="64887D83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6343ED6B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3FF8121D" w14:textId="77777777" w:rsidR="00E17CD4" w:rsidRPr="00824197" w:rsidRDefault="00E17CD4" w:rsidP="0019072A">
      <w:pPr>
        <w:widowControl w:val="0"/>
        <w:tabs>
          <w:tab w:val="right" w:pos="3600"/>
          <w:tab w:val="right" w:pos="4320"/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</w:rPr>
        <w:tab/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2ADBC01F" w14:textId="77777777" w:rsidR="00E17CD4" w:rsidRPr="00824197" w:rsidRDefault="00E17CD4" w:rsidP="0019072A">
      <w:pPr>
        <w:widowControl w:val="0"/>
        <w:tabs>
          <w:tab w:val="left" w:pos="432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>[підпис]</w:t>
      </w:r>
      <w:r w:rsidRPr="00824197">
        <w:rPr>
          <w:rFonts w:ascii="Times New Roman" w:eastAsia="Century Gothic" w:hAnsi="Times New Roman" w:cs="Times New Roman"/>
          <w:i/>
          <w:color w:val="000000" w:themeColor="text1"/>
        </w:rPr>
        <w:tab/>
        <w:t>[що виступає у якості]</w:t>
      </w:r>
    </w:p>
    <w:p w14:paraId="4B663A15" w14:textId="77777777" w:rsidR="00E17CD4" w:rsidRPr="00824197" w:rsidRDefault="00E17CD4" w:rsidP="0019072A">
      <w:pPr>
        <w:widowControl w:val="0"/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</w:p>
    <w:p w14:paraId="2BCF02C9" w14:textId="77777777" w:rsidR="00E17CD4" w:rsidRPr="00824197" w:rsidRDefault="00E17CD4" w:rsidP="0019072A">
      <w:pPr>
        <w:widowControl w:val="0"/>
        <w:tabs>
          <w:tab w:val="right" w:pos="8640"/>
        </w:tabs>
        <w:spacing w:line="276" w:lineRule="auto"/>
        <w:jc w:val="both"/>
        <w:rPr>
          <w:rFonts w:ascii="Times New Roman" w:eastAsia="Century Gothic" w:hAnsi="Times New Roman" w:cs="Times New Roman"/>
          <w:color w:val="000000" w:themeColor="text1"/>
        </w:rPr>
      </w:pPr>
      <w:r w:rsidRPr="00824197">
        <w:rPr>
          <w:rFonts w:ascii="Times New Roman" w:eastAsia="Century Gothic" w:hAnsi="Times New Roman" w:cs="Times New Roman"/>
          <w:color w:val="000000" w:themeColor="text1"/>
        </w:rPr>
        <w:t xml:space="preserve">Що має належні повноваження на підписання Заявки від імені та за дорученням </w:t>
      </w:r>
      <w:r w:rsidRPr="00824197">
        <w:rPr>
          <w:rFonts w:ascii="Times New Roman" w:eastAsia="Century Gothic" w:hAnsi="Times New Roman" w:cs="Times New Roman"/>
          <w:color w:val="000000" w:themeColor="text1"/>
          <w:u w:val="single"/>
        </w:rPr>
        <w:tab/>
      </w:r>
    </w:p>
    <w:p w14:paraId="3FAA939D" w14:textId="77777777" w:rsidR="00E17CD4" w:rsidRPr="00824197" w:rsidRDefault="00E17CD4" w:rsidP="0019072A">
      <w:pPr>
        <w:widowControl w:val="0"/>
        <w:tabs>
          <w:tab w:val="right" w:pos="8640"/>
        </w:tabs>
        <w:spacing w:line="276" w:lineRule="auto"/>
        <w:ind w:right="708"/>
        <w:jc w:val="both"/>
        <w:rPr>
          <w:rFonts w:ascii="Times New Roman" w:eastAsia="Century Gothic" w:hAnsi="Times New Roman" w:cs="Times New Roman"/>
          <w:color w:val="000000" w:themeColor="text1"/>
          <w:u w:val="single"/>
        </w:rPr>
      </w:pPr>
    </w:p>
    <w:p w14:paraId="0DEDC987" w14:textId="77777777" w:rsidR="00E17CD4" w:rsidRPr="00824197" w:rsidRDefault="00E17CD4" w:rsidP="0019072A">
      <w:pPr>
        <w:spacing w:line="276" w:lineRule="auto"/>
        <w:ind w:left="540"/>
        <w:jc w:val="center"/>
        <w:rPr>
          <w:rFonts w:ascii="Times New Roman" w:eastAsia="Century Gothic" w:hAnsi="Times New Roman" w:cs="Times New Roman"/>
          <w:b/>
          <w:color w:val="000000" w:themeColor="text1"/>
        </w:rPr>
      </w:pPr>
    </w:p>
    <w:p w14:paraId="7658EB33" w14:textId="5801B816" w:rsidR="00E17CD4" w:rsidRDefault="00E17CD4" w:rsidP="0019072A">
      <w:pPr>
        <w:spacing w:line="276" w:lineRule="auto"/>
        <w:rPr>
          <w:rFonts w:ascii="Times New Roman" w:hAnsi="Times New Roman" w:cs="Times New Roman"/>
          <w:color w:val="000000" w:themeColor="text1"/>
        </w:rPr>
      </w:pPr>
    </w:p>
    <w:sectPr w:rsidR="00E17CD4" w:rsidSect="00964E01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C7D9C"/>
    <w:multiLevelType w:val="multilevel"/>
    <w:tmpl w:val="272A0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6478C"/>
    <w:multiLevelType w:val="hybridMultilevel"/>
    <w:tmpl w:val="171AAA4C"/>
    <w:lvl w:ilvl="0" w:tplc="97A4E97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AF3"/>
    <w:multiLevelType w:val="multilevel"/>
    <w:tmpl w:val="32A0A0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E3C87"/>
    <w:multiLevelType w:val="multilevel"/>
    <w:tmpl w:val="B47A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4A6A18"/>
    <w:multiLevelType w:val="multilevel"/>
    <w:tmpl w:val="AE98A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002B3D"/>
    <w:multiLevelType w:val="multilevel"/>
    <w:tmpl w:val="1E527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0552EC"/>
    <w:multiLevelType w:val="multilevel"/>
    <w:tmpl w:val="DAF2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207FC"/>
    <w:multiLevelType w:val="multilevel"/>
    <w:tmpl w:val="06CE4DB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F44B4"/>
    <w:multiLevelType w:val="multilevel"/>
    <w:tmpl w:val="FF2846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AB5F58"/>
    <w:multiLevelType w:val="hybridMultilevel"/>
    <w:tmpl w:val="A8BA6EF8"/>
    <w:lvl w:ilvl="0" w:tplc="7D20CADA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30F6D"/>
    <w:multiLevelType w:val="multilevel"/>
    <w:tmpl w:val="02528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DF3F2D"/>
    <w:multiLevelType w:val="multilevel"/>
    <w:tmpl w:val="DFF6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FB5099"/>
    <w:multiLevelType w:val="multilevel"/>
    <w:tmpl w:val="3CBA2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193A98"/>
    <w:multiLevelType w:val="multilevel"/>
    <w:tmpl w:val="4FA49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11"/>
  </w:num>
  <w:num w:numId="9">
    <w:abstractNumId w:val="6"/>
  </w:num>
  <w:num w:numId="10">
    <w:abstractNumId w:val="9"/>
  </w:num>
  <w:num w:numId="11">
    <w:abstractNumId w:val="7"/>
  </w:num>
  <w:num w:numId="12">
    <w:abstractNumId w:val="1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BC"/>
    <w:rsid w:val="00007B51"/>
    <w:rsid w:val="00030D5B"/>
    <w:rsid w:val="000A54DA"/>
    <w:rsid w:val="000B416E"/>
    <w:rsid w:val="000D38B4"/>
    <w:rsid w:val="0019072A"/>
    <w:rsid w:val="001E657F"/>
    <w:rsid w:val="00236B76"/>
    <w:rsid w:val="002D00C8"/>
    <w:rsid w:val="0031780A"/>
    <w:rsid w:val="00320612"/>
    <w:rsid w:val="003E268B"/>
    <w:rsid w:val="004105E6"/>
    <w:rsid w:val="004D2FF3"/>
    <w:rsid w:val="00533F91"/>
    <w:rsid w:val="00541FBF"/>
    <w:rsid w:val="00550EA3"/>
    <w:rsid w:val="005B2747"/>
    <w:rsid w:val="005E03CC"/>
    <w:rsid w:val="00642E5D"/>
    <w:rsid w:val="006A6D63"/>
    <w:rsid w:val="006B1FD0"/>
    <w:rsid w:val="006C4B41"/>
    <w:rsid w:val="006E4485"/>
    <w:rsid w:val="00707576"/>
    <w:rsid w:val="00742CBF"/>
    <w:rsid w:val="007508BC"/>
    <w:rsid w:val="00760BED"/>
    <w:rsid w:val="00783882"/>
    <w:rsid w:val="00824197"/>
    <w:rsid w:val="00843337"/>
    <w:rsid w:val="00886890"/>
    <w:rsid w:val="008926FA"/>
    <w:rsid w:val="008C41D9"/>
    <w:rsid w:val="008F651D"/>
    <w:rsid w:val="009066BD"/>
    <w:rsid w:val="00964E01"/>
    <w:rsid w:val="009B7BB9"/>
    <w:rsid w:val="009C0E7A"/>
    <w:rsid w:val="009D131B"/>
    <w:rsid w:val="00A66151"/>
    <w:rsid w:val="00A76450"/>
    <w:rsid w:val="00AD07D8"/>
    <w:rsid w:val="00AD39C0"/>
    <w:rsid w:val="00AF54B1"/>
    <w:rsid w:val="00AF7F22"/>
    <w:rsid w:val="00B1408B"/>
    <w:rsid w:val="00B26054"/>
    <w:rsid w:val="00B800AA"/>
    <w:rsid w:val="00BF5818"/>
    <w:rsid w:val="00C351CF"/>
    <w:rsid w:val="00C35381"/>
    <w:rsid w:val="00C474BD"/>
    <w:rsid w:val="00C566CA"/>
    <w:rsid w:val="00C92E03"/>
    <w:rsid w:val="00CA3DCD"/>
    <w:rsid w:val="00CB5786"/>
    <w:rsid w:val="00CE4163"/>
    <w:rsid w:val="00D060FD"/>
    <w:rsid w:val="00D82DE0"/>
    <w:rsid w:val="00DE437D"/>
    <w:rsid w:val="00E01324"/>
    <w:rsid w:val="00E17CD4"/>
    <w:rsid w:val="00E27B16"/>
    <w:rsid w:val="00E47599"/>
    <w:rsid w:val="00E50C27"/>
    <w:rsid w:val="00EB098A"/>
    <w:rsid w:val="00EC2BCB"/>
    <w:rsid w:val="00ED6B3B"/>
    <w:rsid w:val="00F1357A"/>
    <w:rsid w:val="00F3090B"/>
    <w:rsid w:val="00F3791A"/>
    <w:rsid w:val="00F8319D"/>
    <w:rsid w:val="00F9498F"/>
    <w:rsid w:val="00FE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DD0F6"/>
  <w15:chartTrackingRefBased/>
  <w15:docId w15:val="{1699071B-79D5-43C1-8A60-7C4762D2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BED"/>
  </w:style>
  <w:style w:type="paragraph" w:styleId="1">
    <w:name w:val="heading 1"/>
    <w:basedOn w:val="a"/>
    <w:next w:val="a"/>
    <w:link w:val="10"/>
    <w:uiPriority w:val="9"/>
    <w:qFormat/>
    <w:rsid w:val="0075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5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8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8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8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8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5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8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8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8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8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8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8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8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8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8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08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8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8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08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08B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7508B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0"/>
    <w:rsid w:val="007508BC"/>
  </w:style>
  <w:style w:type="character" w:styleId="af">
    <w:name w:val="Strong"/>
    <w:basedOn w:val="a0"/>
    <w:uiPriority w:val="22"/>
    <w:qFormat/>
    <w:rsid w:val="007508BC"/>
    <w:rPr>
      <w:b/>
      <w:bCs/>
    </w:rPr>
  </w:style>
  <w:style w:type="character" w:styleId="af0">
    <w:name w:val="Hyperlink"/>
    <w:basedOn w:val="a0"/>
    <w:uiPriority w:val="99"/>
    <w:unhideWhenUsed/>
    <w:rsid w:val="007508BC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08BC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AF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1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ivli@convictu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6035</Words>
  <Characters>3441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4</cp:revision>
  <cp:lastPrinted>2026-01-19T16:48:00Z</cp:lastPrinted>
  <dcterms:created xsi:type="dcterms:W3CDTF">2026-01-27T15:34:00Z</dcterms:created>
  <dcterms:modified xsi:type="dcterms:W3CDTF">2026-01-27T15:42:00Z</dcterms:modified>
</cp:coreProperties>
</file>