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before="200" w:line="276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Запитувані характеристики товару - рюкзаків: 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hd w:fill="ffffff" w:val="clear"/>
        <w:spacing w:before="20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Можливість запропонувати варіанти кольорів (бажані кольори - блакитний, фіолетовий, помаранчевий, синій, світло-сірий) однотонна тканина;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hd w:fill="ffffff" w:val="clear"/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Одне велике відділення для підручників. Додатково всередині кишеня для можливості окремого  розміщення книг/альбомів/зошитів;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hd w:fill="ffffff" w:val="clear"/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Спереду ззовні одна та/або два окремих відділення — для пенала чи особистих необхідних дрібничок.Також на передній частині вставки зі світловідбивними елементами.  З обох боків є відсіки для пляшки з водою;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hd w:fill="ffffff" w:val="clear"/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Ортопедична спинка із вентиляційними вставками;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ffffff" w:val="clear"/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Лямки анатомічно правильної форми з можливістю регулювання;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ffffff" w:val="clear"/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Рюкзак виготовлений з універсальної тканини щільністю 220г/m2, що має водостійку здатність та вентиляційні властивості; можливі варіанти тканин: 600D W/R або аналог, 420SW Flat PVC жатка або аналог.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Розміри: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hd w:fill="ffffff" w:val="clear"/>
        <w:spacing w:line="276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висота від  33 до 42 см;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hd w:fill="ffffff" w:val="clear"/>
        <w:spacing w:line="276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ширина ві 24 до 32 см;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hd w:fill="ffffff" w:val="clear"/>
        <w:spacing w:line="276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глибина від 11 до 17 см;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Обєм: від 18 до 21 л.</w:t>
      </w:r>
    </w:p>
    <w:p w:rsidR="00000000" w:rsidDel="00000000" w:rsidP="00000000" w:rsidRDefault="00000000" w:rsidRPr="00000000" w14:paraId="0000000D">
      <w:pPr>
        <w:spacing w:line="240" w:lineRule="auto"/>
        <w:ind w:left="142" w:firstLine="283.99999999999994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left="142" w:firstLine="283.9999999999999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Також учасник у складі тендерної пропозиції повинен врахувати наявність на рюкзаку брендованої світловідбиваючої нашивки на передній частині рюкзака яка буде містити на собі монохромні лого донора та лого замовника в наступній послідовності.</w:t>
      </w:r>
    </w:p>
    <w:p w:rsidR="00000000" w:rsidDel="00000000" w:rsidP="00000000" w:rsidRDefault="00000000" w:rsidRPr="00000000" w14:paraId="0000000F">
      <w:pPr>
        <w:spacing w:line="240" w:lineRule="auto"/>
        <w:ind w:left="142" w:firstLine="283.9999999999999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left="142" w:firstLine="283.99999999999994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Логотип донора</w:t>
      </w:r>
    </w:p>
    <w:p w:rsidR="00000000" w:rsidDel="00000000" w:rsidP="00000000" w:rsidRDefault="00000000" w:rsidRPr="00000000" w14:paraId="00000011">
      <w:pPr>
        <w:spacing w:line="240" w:lineRule="auto"/>
        <w:ind w:left="142" w:firstLine="283.9999999999999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  <w:drawing>
          <wp:inline distB="114300" distT="114300" distL="114300" distR="114300">
            <wp:extent cx="4995863" cy="2348553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95863" cy="234855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left="142" w:firstLine="283.99999999999994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left="142" w:firstLine="283.99999999999994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Логотип партнера: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left="142" w:firstLine="283.99999999999994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left="142" w:firstLine="283.99999999999994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  <w:drawing>
          <wp:inline distB="114300" distT="114300" distL="114300" distR="114300">
            <wp:extent cx="4957763" cy="1877691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57763" cy="187769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left="142" w:firstLine="283.99999999999994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left="142" w:firstLine="283.99999999999994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Логотип Замовника</w:t>
      </w:r>
    </w:p>
    <w:p w:rsidR="00000000" w:rsidDel="00000000" w:rsidP="00000000" w:rsidRDefault="00000000" w:rsidRPr="00000000" w14:paraId="00000018">
      <w:pPr>
        <w:spacing w:line="240" w:lineRule="auto"/>
        <w:ind w:left="142" w:firstLine="283.99999999999994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  <w:drawing>
          <wp:inline distB="114300" distT="114300" distL="114300" distR="114300">
            <wp:extent cx="4957763" cy="2478881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57763" cy="247888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left="142" w:firstLine="283.99999999999994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left="142" w:firstLine="283.99999999999994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