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right"/>
        <w:rPr>
          <w:rFonts w:ascii="Times New Roman" w:hAnsi="Times New Roman" w:eastAsia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eastAsia="Times New Roman" w:cs="Times New Roman"/>
          <w:sz w:val="20"/>
          <w:szCs w:val="20"/>
          <w:rtl w:val="0"/>
        </w:rPr>
        <w:t>Додаток № 1</w:t>
      </w:r>
    </w:p>
    <w:p>
      <w:pPr>
        <w:spacing w:line="240" w:lineRule="auto"/>
        <w:ind w:firstLine="720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line="240" w:lineRule="auto"/>
        <w:ind w:firstLine="720"/>
        <w:jc w:val="center"/>
        <w:rPr>
          <w:rFonts w:ascii="Times New Roman" w:hAnsi="Times New Roman" w:eastAsia="Times New Roman" w:cs="Times New Roman"/>
          <w:b/>
          <w:sz w:val="20"/>
          <w:szCs w:val="20"/>
        </w:rPr>
      </w:pPr>
      <w:r>
        <w:rPr>
          <w:rFonts w:ascii="Times New Roman" w:hAnsi="Times New Roman" w:eastAsia="Times New Roman" w:cs="Times New Roman"/>
          <w:b/>
          <w:sz w:val="20"/>
          <w:szCs w:val="20"/>
          <w:rtl w:val="0"/>
        </w:rPr>
        <w:t>Цінова пропозиція</w:t>
      </w:r>
    </w:p>
    <w:p>
      <w:pPr>
        <w:spacing w:line="240" w:lineRule="auto"/>
        <w:ind w:firstLine="72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line="240" w:lineRule="auto"/>
        <w:ind w:firstLine="720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sz w:val="20"/>
          <w:szCs w:val="20"/>
          <w:rtl w:val="0"/>
        </w:rPr>
        <w:t xml:space="preserve">Цінова пропозиція </w:t>
      </w:r>
      <w:r>
        <w:rPr>
          <w:rFonts w:ascii="Times New Roman" w:hAnsi="Times New Roman" w:eastAsia="Times New Roman" w:cs="Times New Roman"/>
          <w:sz w:val="20"/>
          <w:szCs w:val="20"/>
          <w:rtl w:val="0"/>
        </w:rPr>
        <w:t>до відкритого конкурсу на послуги харчування для учасників та учасниць заходів у місті Києві та Київській області,  протягом жовтня 2025 року – грудня 2025 року.</w:t>
      </w:r>
    </w:p>
    <w:p>
      <w:pPr>
        <w:spacing w:line="240" w:lineRule="auto"/>
        <w:jc w:val="center"/>
        <w:rPr>
          <w:rFonts w:ascii="Times New Roman" w:hAnsi="Times New Roman" w:eastAsia="Times New Roman" w:cs="Times New Roman"/>
          <w:color w:val="FF0000"/>
          <w:sz w:val="32"/>
          <w:szCs w:val="32"/>
        </w:rPr>
      </w:pPr>
    </w:p>
    <w:p>
      <w:pPr>
        <w:spacing w:line="240" w:lineRule="auto"/>
        <w:jc w:val="center"/>
        <w:rPr>
          <w:rFonts w:ascii="Times New Roman" w:hAnsi="Times New Roman" w:eastAsia="Times New Roman" w:cs="Times New Roman"/>
          <w:color w:val="FF0000"/>
          <w:sz w:val="32"/>
          <w:szCs w:val="32"/>
        </w:rPr>
      </w:pPr>
      <w:r>
        <w:rPr>
          <w:rFonts w:ascii="Times New Roman" w:hAnsi="Times New Roman" w:eastAsia="Times New Roman" w:cs="Times New Roman"/>
          <w:color w:val="FF0000"/>
          <w:sz w:val="32"/>
          <w:szCs w:val="32"/>
          <w:rtl w:val="0"/>
        </w:rPr>
        <w:t>Повне найменування Юридичної особи</w:t>
      </w:r>
    </w:p>
    <w:p>
      <w:pPr>
        <w:spacing w:line="240" w:lineRule="auto"/>
        <w:jc w:val="center"/>
        <w:rPr>
          <w:rFonts w:ascii="Times New Roman" w:hAnsi="Times New Roman" w:eastAsia="Times New Roman" w:cs="Times New Roman"/>
          <w:color w:val="FF0000"/>
          <w:sz w:val="32"/>
          <w:szCs w:val="32"/>
        </w:rPr>
      </w:pPr>
      <w:r>
        <w:rPr>
          <w:rFonts w:ascii="Times New Roman" w:hAnsi="Times New Roman" w:eastAsia="Times New Roman" w:cs="Times New Roman"/>
          <w:color w:val="FF0000"/>
          <w:sz w:val="32"/>
          <w:szCs w:val="32"/>
          <w:rtl w:val="0"/>
        </w:rPr>
        <w:t>або Фізичної особи – підприємця</w:t>
      </w:r>
    </w:p>
    <w:p>
      <w:pPr>
        <w:spacing w:line="240" w:lineRule="auto"/>
        <w:jc w:val="center"/>
        <w:rPr>
          <w:rFonts w:ascii="Times New Roman" w:hAnsi="Times New Roman" w:eastAsia="Times New Roman" w:cs="Times New Roman"/>
          <w:color w:val="FF0000"/>
          <w:sz w:val="32"/>
          <w:szCs w:val="32"/>
        </w:rPr>
      </w:pPr>
    </w:p>
    <w:p>
      <w:pPr>
        <w:spacing w:line="240" w:lineRule="auto"/>
        <w:jc w:val="center"/>
        <w:rPr>
          <w:rFonts w:ascii="Times New Roman" w:hAnsi="Times New Roman" w:eastAsia="Times New Roman" w:cs="Times New Roman"/>
          <w:color w:val="FF0000"/>
          <w:sz w:val="32"/>
          <w:szCs w:val="32"/>
        </w:rPr>
      </w:pPr>
      <w:r>
        <w:rPr>
          <w:rFonts w:ascii="Times New Roman" w:hAnsi="Times New Roman" w:eastAsia="Times New Roman" w:cs="Times New Roman"/>
          <w:color w:val="FF0000"/>
          <w:sz w:val="32"/>
          <w:szCs w:val="32"/>
          <w:rtl w:val="0"/>
        </w:rPr>
        <w:t>Повна юридична адреса</w:t>
      </w:r>
    </w:p>
    <w:p>
      <w:pPr>
        <w:spacing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>
        <w:pict>
          <v:rect id="_x0000_i1025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spacing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line="240" w:lineRule="auto"/>
        <w:ind w:firstLine="720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Надсилаю Вам та прошу розглянути цінову пропозицію щодо участі у тендері на послуги харчування для учасників та учасниць заходів у місті Києві та Київській області протягом жовтня 2025 року – грудня 2025 року. Надаю повну згоду на участь у тендері. Надаю згоду на обробку персональних даних. Додатком до листа додаю необхідні документи згідно переліку вимог у конкурсній пропозиції.</w:t>
      </w:r>
    </w:p>
    <w:p>
      <w:pPr>
        <w:spacing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line="240" w:lineRule="auto"/>
        <w:jc w:val="center"/>
        <w:rPr>
          <w:rFonts w:ascii="Times New Roman" w:hAnsi="Times New Roman" w:eastAsia="Times New Roman" w:cs="Times New Roman"/>
          <w:b/>
          <w:sz w:val="20"/>
          <w:szCs w:val="20"/>
        </w:rPr>
      </w:pPr>
      <w:r>
        <w:rPr>
          <w:rFonts w:ascii="Times New Roman" w:hAnsi="Times New Roman" w:eastAsia="Times New Roman" w:cs="Times New Roman"/>
          <w:b/>
          <w:sz w:val="20"/>
          <w:szCs w:val="20"/>
          <w:rtl w:val="0"/>
        </w:rPr>
        <w:t>Цінова пропозиція</w:t>
      </w:r>
    </w:p>
    <w:p>
      <w:pPr>
        <w:spacing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tbl>
      <w:tblPr>
        <w:tblStyle w:val="17"/>
        <w:tblW w:w="8895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1785"/>
        <w:gridCol w:w="7110"/>
      </w:tblGrid>
      <w:tr>
        <w:trPr>
          <w:trHeight w:val="960" w:hRule="atLeast"/>
        </w:trPr>
        <w:tc>
          <w:tcPr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spacing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rtl w:val="0"/>
              </w:rPr>
              <w:t>Підрядник:</w:t>
            </w:r>
          </w:p>
        </w:tc>
        <w:tc>
          <w:tcPr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FF0000"/>
                <w:sz w:val="32"/>
                <w:szCs w:val="32"/>
                <w:rtl w:val="0"/>
              </w:rPr>
              <w:t>найменування Юридичної особи</w:t>
            </w:r>
          </w:p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FF0000"/>
                <w:sz w:val="32"/>
                <w:szCs w:val="32"/>
                <w:rtl w:val="0"/>
              </w:rPr>
              <w:t>або Фізичної особи – підприємця</w:t>
            </w:r>
          </w:p>
        </w:tc>
      </w:tr>
      <w:tr>
        <w:trPr>
          <w:trHeight w:val="660" w:hRule="atLeast"/>
        </w:trPr>
        <w:tc>
          <w:tcPr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spacing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rtl w:val="0"/>
              </w:rPr>
              <w:t>Платник:</w:t>
            </w:r>
          </w:p>
        </w:tc>
        <w:tc>
          <w:tcPr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spacing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rtl w:val="0"/>
              </w:rPr>
              <w:t>ГРОМАДСЬКА ОРГАНІЗАЦІЯ «ЮСАП»</w:t>
            </w:r>
          </w:p>
        </w:tc>
      </w:tr>
    </w:tbl>
    <w:p>
      <w:pPr>
        <w:spacing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tbl>
      <w:tblPr>
        <w:tblStyle w:val="18"/>
        <w:tblW w:w="10348" w:type="dxa"/>
        <w:tblInd w:w="-7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4678"/>
        <w:gridCol w:w="1276"/>
        <w:gridCol w:w="1276"/>
        <w:gridCol w:w="1276"/>
        <w:gridCol w:w="1275"/>
      </w:tblGrid>
      <w:tr>
        <w:trPr>
          <w:trHeight w:val="750" w:hRule="atLeast"/>
        </w:trPr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>№</w:t>
            </w: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>Найменування робіт/послуг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>Одиниця виміру</w:t>
            </w: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>Кількість</w:t>
            </w: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>Ціна</w:t>
            </w: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>Загальна сума</w:t>
            </w:r>
          </w:p>
        </w:tc>
      </w:tr>
      <w:tr>
        <w:trPr>
          <w:trHeight w:val="1020" w:hRule="atLeast"/>
        </w:trPr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>1.</w:t>
            </w:r>
          </w:p>
        </w:tc>
        <w:tc>
          <w:tcPr>
            <w:tcBorders>
              <w:top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>
            <w:pPr>
              <w:spacing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Daily meal for participants of events (2 events х 30 participants х 3 days)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>daily meal</w:t>
            </w: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>180</w:t>
            </w: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rtl w:val="0"/>
              </w:rPr>
              <w:t>Ціна за одиницю</w:t>
            </w: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rtl w:val="0"/>
              </w:rPr>
              <w:t>Загальна вартість товарів</w:t>
            </w:r>
          </w:p>
        </w:tc>
      </w:tr>
      <w:tr>
        <w:trPr>
          <w:trHeight w:val="1020" w:hRule="atLeast"/>
        </w:trPr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>2.</w:t>
            </w:r>
          </w:p>
        </w:tc>
        <w:tc>
          <w:tcPr>
            <w:tcBorders>
              <w:top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>
            <w:pPr>
              <w:spacing w:line="240" w:lineRule="auto"/>
              <w:ind w:left="0" w:firstLine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Daily meal for participants (1 event х 20 participants х 3 days)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>daily meal</w:t>
            </w: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>60</w:t>
            </w: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</w:rPr>
            </w:pPr>
          </w:p>
        </w:tc>
      </w:tr>
      <w:tr>
        <w:trPr>
          <w:trHeight w:val="1020" w:hRule="atLeast"/>
        </w:trPr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>3.</w:t>
            </w:r>
          </w:p>
        </w:tc>
        <w:tc>
          <w:tcPr>
            <w:tcBorders>
              <w:top w:val="single" w:color="000000" w:sz="4" w:space="0"/>
              <w:right w:val="single" w:color="000000" w:sz="4" w:space="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>
            <w:pPr>
              <w:spacing w:line="240" w:lineRule="auto"/>
              <w:ind w:left="0" w:firstLine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rtl w:val="0"/>
              </w:rPr>
              <w:t>Daily meal for participants of event (1 events х 25 participants х 3 days)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>daily meal</w:t>
            </w: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>75</w:t>
            </w: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</w:rPr>
            </w:pPr>
          </w:p>
        </w:tc>
      </w:tr>
      <w:tr>
        <w:trPr>
          <w:trHeight w:val="480" w:hRule="atLeast"/>
        </w:trPr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>Всього: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</w:tbl>
    <w:p>
      <w:pPr>
        <w:spacing w:line="240" w:lineRule="auto"/>
        <w:rPr>
          <w:rFonts w:ascii="Times New Roman" w:hAnsi="Times New Roman" w:eastAsia="Times New Roman" w:cs="Times New Roman"/>
          <w:color w:val="FF0000"/>
          <w:sz w:val="20"/>
          <w:szCs w:val="20"/>
        </w:rPr>
      </w:pPr>
    </w:p>
    <w:p>
      <w:pPr>
        <w:spacing w:line="240" w:lineRule="auto"/>
        <w:jc w:val="both"/>
        <w:rPr>
          <w:rFonts w:ascii="Times New Roman" w:hAnsi="Times New Roman" w:eastAsia="Times New Roman" w:cs="Times New Roman"/>
          <w:color w:val="FF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FF0000"/>
          <w:sz w:val="20"/>
          <w:szCs w:val="20"/>
          <w:rtl w:val="0"/>
        </w:rPr>
        <w:t>Загальна сума, що підлягає оплаті складає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line="240" w:lineRule="auto"/>
        <w:rPr>
          <w:rFonts w:ascii="Times New Roman" w:hAnsi="Times New Roman" w:eastAsia="Times New Roman" w:cs="Times New Roman"/>
          <w:b/>
          <w:sz w:val="28"/>
          <w:szCs w:val="28"/>
        </w:rPr>
        <w:sectPr>
          <w:pgSz w:w="11909" w:h="16834"/>
          <w:pgMar w:top="1134" w:right="851" w:bottom="1134" w:left="1701" w:header="720" w:footer="720" w:gutter="0"/>
          <w:pgNumType w:start="1"/>
          <w:cols w:space="720" w:num="1"/>
        </w:sectPr>
      </w:pPr>
      <w:r>
        <w:rPr>
          <w:rFonts w:ascii="Times New Roman" w:hAnsi="Times New Roman" w:eastAsia="Times New Roman" w:cs="Times New Roman"/>
          <w:b/>
          <w:sz w:val="20"/>
          <w:szCs w:val="20"/>
          <w:rtl w:val="0"/>
        </w:rPr>
        <w:t xml:space="preserve">Виписав (ла): ___________________ </w:t>
      </w:r>
      <w:r>
        <w:rPr>
          <w:rFonts w:ascii="Times New Roman" w:hAnsi="Times New Roman" w:eastAsia="Times New Roman" w:cs="Times New Roman"/>
          <w:b/>
          <w:color w:val="FF0000"/>
          <w:sz w:val="20"/>
          <w:szCs w:val="20"/>
          <w:rtl w:val="0"/>
        </w:rPr>
        <w:t>Уповноважена особа для виставлення цінової пропозиції</w:t>
      </w:r>
    </w:p>
    <w:p>
      <w:pPr>
        <w:spacing w:line="240" w:lineRule="auto"/>
        <w:jc w:val="righ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Додаток 2</w:t>
      </w:r>
    </w:p>
    <w:p>
      <w:pPr>
        <w:spacing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ЛИСТ ПРО ВІДПОВІДНІСТЬ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Цим листом засвідчую, що: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Я,_____________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Організація-учасниця тендеру ФОП АБО ТОВ _______________________________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не перебуваю(є) у жодній ситуації із нижче переліченого списку.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___/__/202__                               (підпис ФОП або керівника організації, дата).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Причини виключення учасника тендеру із тендерної процедури: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Учасни_ця (або переможець/переможниця) тендеру буде виключен_ий із участі в тендерній процедурі, якщо: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1. Учасни_ця є банкрутом, перебуває під процедурою неплатоспроможності або ліквідації, його/її активи управляються ліквідатором або судом, перебуває у домовленості з кредиторами, його підприємницька діяльність призупинена, перебуває в будь-якій аналогічній ситуації під процедурою, передбаченою законами або нормами України.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2. Остаточним рішенням суду чи остаточним адміністративним рішенням було встановлено, що учасни_ця тендеру вин_ен у тяжкій професійній провині, порушивши чинні закони / норми /етичні стандарти професії, до якої належить учасни_ця тендеру, або був викритий у будь-якій протиправній поведінці, що вплинуло на його ділову репутацію, і коли така поведінка означала неправомірний умисел або грубу недбалість, зокрема: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- подання спотвореної або недбалої інформації, необхідної для перевірки відсутності підстав для виключення / відповідності критеріям відбору або для виконання контракту;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- змова з іншими економічними операторами з метою фальсифікації конкуренції;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- порушення прав інтелектуальної власності;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- спроба вплинути на процес прийняття рішень під час проведення процедури закупівлі;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- намагання отримати конфіденційну інформацію, яка могла б надати переваги в процедурі закупівлі; спроби контактів та переговорів зі стороною, яка оголосила тендер, з наміром вплинути на хід тендерної процедури.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3. Остаточним рішенням суду або остаточним адміністративним рішенням було встановлено, що учасни_ця тендеру порушує свої зобов’язання, пов’язані зі сплатою податків або внесків на соціальне забезпечення відповідно до чинного законодавства.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4. Остаточним рішенням суду встановлено, що учасни_ця (або особи, які мають повноваження його представляти, приймати рішення, здійснювати контроль), винні у будь-яких діях з нижче переліченого: шахрайство, корупція, участь у злочинній організації, відмивання грошей, фінансування тероризму,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експлуатація дитячої праці (або будь-які інші форми торгівлі людьми), будь-яка інша незаконна діяльність, що завдає шкоди інтересам України.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5. Учасни_ця порушує права у сфері діяльності профспілок, використовує незаконну працю неповнолітніх, використовує примусову працю, дискримінує працівників та працівниць в питаннях оплати праці.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6. Учасни_ця тендеру продемонструва_ла суттєві недоліки у дотриманні основних зобов'язань із виконання контракту, що призвело до дострокового припинення правового зобов’язання, або до застосування процедури відшкодування збитків, або інших договірних штрафів, або до іншого, що було виявлено в результаті аудиту, перевірок або розслідувань.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 xml:space="preserve">7. Учасни_ця, його/її дочірнє підприємство, чи інша компанія, що належить до тієї ж групи компаній, партнер консорціуму або інша філія, знаходяться у санкційному списку Європейського Союзу. Переліки осіб, груп, суб’єктів, що підпадають під санкції Європейського Союзу, публікуються на веб-сайті: </w:t>
      </w:r>
      <w:r>
        <w:fldChar w:fldCharType="begin"/>
      </w:r>
      <w:r>
        <w:instrText xml:space="preserve"> HYPERLINK "http://www.sanctionsmap.eu/"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1155CC"/>
          <w:sz w:val="20"/>
          <w:szCs w:val="20"/>
          <w:u w:val="single"/>
          <w:rtl w:val="0"/>
        </w:rPr>
        <w:t>www.sanctionsmap.eu</w:t>
      </w:r>
      <w:r>
        <w:rPr>
          <w:rFonts w:ascii="Times New Roman" w:hAnsi="Times New Roman" w:eastAsia="Times New Roman" w:cs="Times New Roman"/>
          <w:color w:val="1155CC"/>
          <w:sz w:val="20"/>
          <w:szCs w:val="20"/>
          <w:u w:val="single"/>
          <w:rtl w:val="0"/>
        </w:rPr>
        <w:fldChar w:fldCharType="end"/>
      </w:r>
      <w:r>
        <w:rPr>
          <w:rFonts w:ascii="Times New Roman" w:hAnsi="Times New Roman" w:eastAsia="Times New Roman" w:cs="Times New Roman"/>
          <w:sz w:val="20"/>
          <w:szCs w:val="20"/>
          <w:rtl w:val="0"/>
        </w:rPr>
        <w:t>.</w:t>
      </w: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rtl w:val="0"/>
        </w:rPr>
        <w:t>Примітка: пункти 1-3 не поширюються на придбання товарів на особливо вигідних умовах від постачальника чи постачальниці, який безумовно ліквідує свою підприємницьку діяльність, або одержувачів чи ліквідаторів банкрутства, за домовленістю з кредиторами або через аналогічну процедуру.</w:t>
      </w:r>
    </w:p>
    <w:sectPr>
      <w:pgSz w:w="11909" w:h="16834"/>
      <w:pgMar w:top="851" w:right="851" w:bottom="851" w:left="1701" w:header="709" w:footer="70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86"/>
    <w:family w:val="swiss"/>
    <w:pitch w:val="default"/>
    <w:sig w:usb0="00000000" w:usb1="00000000" w:usb2="00000000" w:usb3="00000000" w:csb0="00000000" w:csb1="0000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黑体-简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76" w:lineRule="auto"/>
      </w:pPr>
      <w:r>
        <w:separator/>
      </w:r>
    </w:p>
  </w:footnote>
  <w:footnote w:type="continuationSeparator" w:id="1">
    <w:p>
      <w:pPr>
        <w:spacing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7AFF63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line="276" w:lineRule="auto"/>
    </w:pPr>
    <w:rPr>
      <w:rFonts w:ascii="Arial" w:hAnsi="Arial" w:eastAsia="Arial" w:cs="Arial"/>
      <w:sz w:val="22"/>
      <w:szCs w:val="22"/>
      <w:lang w:val="uk"/>
    </w:rPr>
  </w:style>
  <w:style w:type="paragraph" w:styleId="2">
    <w:name w:val="heading 1"/>
    <w:basedOn w:val="1"/>
    <w:next w:val="1"/>
    <w:uiPriority w:val="0"/>
    <w:pPr>
      <w:keepNext/>
      <w:keepLines/>
      <w:spacing w:before="400" w:after="120"/>
    </w:pPr>
    <w:rPr>
      <w:sz w:val="40"/>
      <w:szCs w:val="40"/>
    </w:rPr>
  </w:style>
  <w:style w:type="paragraph" w:styleId="3">
    <w:name w:val="heading 2"/>
    <w:basedOn w:val="1"/>
    <w:next w:val="1"/>
    <w:uiPriority w:val="0"/>
    <w:pPr>
      <w:keepNext/>
      <w:keepLines/>
      <w:spacing w:before="360" w:after="120"/>
    </w:pPr>
    <w:rPr>
      <w:sz w:val="32"/>
      <w:szCs w:val="32"/>
    </w:rPr>
  </w:style>
  <w:style w:type="paragraph" w:styleId="4">
    <w:name w:val="heading 3"/>
    <w:basedOn w:val="1"/>
    <w:next w:val="1"/>
    <w:uiPriority w:val="0"/>
    <w:pPr>
      <w:keepNext/>
      <w:keepLines/>
      <w:spacing w:before="320" w:after="80"/>
    </w:pPr>
    <w:rPr>
      <w:color w:val="434343"/>
      <w:sz w:val="28"/>
      <w:szCs w:val="28"/>
    </w:rPr>
  </w:style>
  <w:style w:type="paragraph" w:styleId="5">
    <w:name w:val="heading 4"/>
    <w:basedOn w:val="1"/>
    <w:next w:val="1"/>
    <w:uiPriority w:val="0"/>
    <w:pPr>
      <w:keepNext/>
      <w:keepLines/>
      <w:spacing w:before="280" w:after="80"/>
    </w:pPr>
    <w:rPr>
      <w:color w:val="666666"/>
      <w:sz w:val="24"/>
      <w:szCs w:val="24"/>
    </w:rPr>
  </w:style>
  <w:style w:type="paragraph" w:styleId="6">
    <w:name w:val="heading 5"/>
    <w:basedOn w:val="1"/>
    <w:next w:val="1"/>
    <w:uiPriority w:val="0"/>
    <w:pPr>
      <w:keepNext/>
      <w:keepLines/>
      <w:spacing w:before="240" w:after="80"/>
    </w:pPr>
    <w:rPr>
      <w:color w:val="666666"/>
    </w:rPr>
  </w:style>
  <w:style w:type="paragraph" w:styleId="7">
    <w:name w:val="heading 6"/>
    <w:basedOn w:val="1"/>
    <w:next w:val="1"/>
    <w:uiPriority w:val="0"/>
    <w:pPr>
      <w:keepNext/>
      <w:keepLines/>
      <w:spacing w:before="240" w:after="80"/>
    </w:pPr>
    <w:rPr>
      <w:i/>
      <w:color w:val="666666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Subtitle"/>
    <w:basedOn w:val="1"/>
    <w:next w:val="1"/>
    <w:uiPriority w:val="0"/>
    <w:pPr>
      <w:keepNext/>
      <w:keepLines/>
      <w:spacing w:after="320"/>
    </w:pPr>
    <w:rPr>
      <w:color w:val="666666"/>
      <w:sz w:val="30"/>
      <w:szCs w:val="30"/>
    </w:rPr>
  </w:style>
  <w:style w:type="paragraph" w:styleId="11">
    <w:name w:val="Title"/>
    <w:basedOn w:val="1"/>
    <w:next w:val="1"/>
    <w:uiPriority w:val="0"/>
    <w:pPr>
      <w:keepNext/>
      <w:keepLines/>
      <w:spacing w:after="60"/>
    </w:pPr>
    <w:rPr>
      <w:sz w:val="52"/>
      <w:szCs w:val="52"/>
    </w:rPr>
  </w:style>
  <w:style w:type="table" w:customStyle="1" w:styleId="12">
    <w:name w:val="Table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">
    <w:name w:val="_Style 13"/>
    <w:basedOn w:val="12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4">
    <w:name w:val="_Style 14"/>
    <w:basedOn w:val="12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5">
    <w:name w:val="_Style 15"/>
    <w:basedOn w:val="12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6">
    <w:name w:val="_Style 16"/>
    <w:basedOn w:val="12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7">
    <w:name w:val="_Style 18"/>
    <w:basedOn w:val="12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8">
    <w:name w:val="_Style 19"/>
    <w:basedOn w:val="12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Office_5.4.3.8026_F1E327BC-269C-435d-A152-05C5408002CA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2025-07-23T12:05:00Z</dcterms:created>
  <dc:creator>Data</dc:creator>
  <cp:lastModifiedBy>Мария Ковальская</cp:lastModifiedBy>
  <dcterms:modified xsi:type="dcterms:W3CDTF">2025-10-09T02:02:14Z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1033-5.4.3.8026</vt:lpwstr>
  </property>
</Properties>
</file>