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4E1983C9" w:rsidR="004D4D73" w:rsidRPr="000B5522" w:rsidRDefault="00954D8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r w:rsidR="00062667"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00176F4C" w:rsidR="00EC4BE0" w:rsidRPr="002C2206" w:rsidRDefault="00EC4BE0" w:rsidP="00B97414">
            <w:pPr>
              <w:rPr>
                <w:rFonts w:ascii="Arial" w:hAnsi="Arial" w:cs="Arial"/>
                <w:b/>
              </w:rPr>
            </w:pPr>
            <w:r w:rsidRPr="002C2206">
              <w:rPr>
                <w:rFonts w:ascii="Arial" w:hAnsi="Arial" w:cs="Arial"/>
                <w:b/>
              </w:rPr>
              <w:t>RFQ UA-</w:t>
            </w:r>
            <w:r w:rsidR="005460A8">
              <w:rPr>
                <w:rFonts w:ascii="Arial" w:hAnsi="Arial" w:cs="Arial"/>
                <w:b/>
              </w:rPr>
              <w:t>8</w:t>
            </w:r>
            <w:r w:rsidR="00AA48D2">
              <w:rPr>
                <w:rFonts w:ascii="Arial" w:hAnsi="Arial" w:cs="Arial"/>
                <w:b/>
                <w:lang w:val="en-US"/>
              </w:rPr>
              <w:t>8</w:t>
            </w:r>
            <w:r w:rsidR="00345D72">
              <w:rPr>
                <w:rFonts w:ascii="Arial" w:hAnsi="Arial" w:cs="Arial"/>
                <w:b/>
                <w:lang w:val="uk-UA"/>
              </w:rPr>
              <w:t>.</w:t>
            </w:r>
            <w:r w:rsidR="00F06E49">
              <w:rPr>
                <w:rFonts w:ascii="Arial" w:hAnsi="Arial" w:cs="Arial"/>
                <w:b/>
                <w:lang w:val="uk-UA"/>
              </w:rPr>
              <w:t>1</w:t>
            </w:r>
            <w:r w:rsidRPr="002C2206">
              <w:rPr>
                <w:rFonts w:ascii="Arial" w:hAnsi="Arial" w:cs="Arial"/>
                <w:b/>
              </w:rPr>
              <w:t>_202</w:t>
            </w:r>
            <w:r w:rsidR="001D074F">
              <w:rPr>
                <w:rFonts w:ascii="Arial" w:hAnsi="Arial" w:cs="Arial"/>
                <w:b/>
              </w:rPr>
              <w:t>5</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4CCE62A7" w:rsidR="00640211" w:rsidRPr="002C2206" w:rsidRDefault="00F06E49" w:rsidP="00B97414">
            <w:pPr>
              <w:rPr>
                <w:rFonts w:ascii="Arial" w:hAnsi="Arial" w:cs="Arial"/>
                <w:b/>
                <w:iCs/>
              </w:rPr>
            </w:pPr>
            <w:r>
              <w:rPr>
                <w:rFonts w:ascii="Arial" w:hAnsi="Arial" w:cs="Arial"/>
                <w:b/>
                <w:iCs/>
              </w:rPr>
              <w:t xml:space="preserve">Jan </w:t>
            </w:r>
            <w:r w:rsidR="005126D7">
              <w:rPr>
                <w:rFonts w:ascii="Arial" w:hAnsi="Arial" w:cs="Arial"/>
                <w:b/>
                <w:iCs/>
                <w:lang w:val="uk-UA"/>
              </w:rPr>
              <w:t>9</w:t>
            </w:r>
            <w:r w:rsidR="00EC4BE0" w:rsidRPr="002C2206">
              <w:rPr>
                <w:rFonts w:ascii="Arial" w:hAnsi="Arial" w:cs="Arial"/>
                <w:b/>
                <w:iCs/>
              </w:rPr>
              <w:t>, 202</w:t>
            </w:r>
            <w:r w:rsidR="001D074F">
              <w:rPr>
                <w:rFonts w:ascii="Arial" w:hAnsi="Arial" w:cs="Arial"/>
                <w:b/>
                <w:iCs/>
              </w:rPr>
              <w:t>5</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5FB5F3D9" w:rsidR="00640211" w:rsidRPr="005126D7" w:rsidRDefault="00503ABE" w:rsidP="00B97414">
            <w:pPr>
              <w:rPr>
                <w:rFonts w:ascii="Arial" w:hAnsi="Arial" w:cs="Arial"/>
                <w:b/>
                <w:bCs/>
                <w:iCs/>
                <w:lang w:val="uk-UA"/>
              </w:rPr>
            </w:pPr>
            <w:r>
              <w:rPr>
                <w:rFonts w:ascii="Arial" w:hAnsi="Arial" w:cs="Arial"/>
                <w:b/>
                <w:bCs/>
                <w:iCs/>
              </w:rPr>
              <w:t>Jan</w:t>
            </w:r>
            <w:r w:rsidR="002C2206">
              <w:rPr>
                <w:rFonts w:ascii="Arial" w:hAnsi="Arial" w:cs="Arial"/>
                <w:b/>
                <w:bCs/>
                <w:iCs/>
              </w:rPr>
              <w:t xml:space="preserve"> </w:t>
            </w:r>
            <w:r w:rsidR="007B320D">
              <w:rPr>
                <w:rFonts w:ascii="Arial" w:hAnsi="Arial" w:cs="Arial"/>
                <w:b/>
                <w:bCs/>
                <w:iCs/>
              </w:rPr>
              <w:t>30</w:t>
            </w:r>
            <w:r w:rsidR="002C2206">
              <w:rPr>
                <w:rFonts w:ascii="Arial" w:hAnsi="Arial" w:cs="Arial"/>
                <w:b/>
                <w:bCs/>
                <w:iCs/>
              </w:rPr>
              <w:t>, 202</w:t>
            </w:r>
            <w:r w:rsidR="001D074F">
              <w:rPr>
                <w:rFonts w:ascii="Arial" w:hAnsi="Arial" w:cs="Arial"/>
                <w:b/>
                <w:bCs/>
                <w:iCs/>
              </w:rPr>
              <w:t>5</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279C123D" w14:textId="67B0C6F9" w:rsidR="008169D3" w:rsidRPr="00503ABE" w:rsidRDefault="008169D3" w:rsidP="008169D3">
      <w:pPr>
        <w:rPr>
          <w:ins w:id="0" w:author="Microsoft Word" w:date="2024-11-19T13:17:00Z" w16du:dateUtc="2024-11-19T11:17:00Z"/>
          <w:u w:val="single"/>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138EF65D" w14:textId="68F9B3F1" w:rsidR="00BE495C" w:rsidRPr="00F754E0" w:rsidRDefault="00BE495C" w:rsidP="00BE495C">
      <w:pPr>
        <w:spacing w:after="0"/>
        <w:ind w:left="360"/>
        <w:jc w:val="both"/>
        <w:rPr>
          <w:rFonts w:asciiTheme="majorHAnsi" w:hAnsiTheme="majorHAnsi" w:cstheme="majorHAnsi"/>
          <w:b/>
          <w:sz w:val="22"/>
          <w:lang w:val="uk-UA"/>
        </w:rPr>
      </w:pPr>
      <w:r w:rsidRPr="00F754E0">
        <w:rPr>
          <w:rFonts w:asciiTheme="majorHAnsi" w:eastAsia="Calibri" w:hAnsiTheme="majorHAnsi" w:cstheme="majorHAnsi"/>
          <w:sz w:val="22"/>
          <w:lang w:val="uk-UA"/>
        </w:rPr>
        <w:t xml:space="preserve">Представництво Іноземної Неурядової Організації План Інтернешенал, Інк. </w:t>
      </w:r>
      <w:r w:rsidRPr="008146A4">
        <w:rPr>
          <w:rFonts w:asciiTheme="majorHAnsi" w:hAnsiTheme="majorHAnsi" w:cstheme="majorHAnsi"/>
          <w:sz w:val="22"/>
          <w:lang w:val="uk-UA"/>
        </w:rPr>
        <w:t>запрошує кваліфікованих</w:t>
      </w:r>
      <w:r w:rsidR="008008E2" w:rsidRPr="008146A4">
        <w:rPr>
          <w:rFonts w:asciiTheme="majorHAnsi" w:hAnsiTheme="majorHAnsi" w:cstheme="majorHAnsi"/>
          <w:sz w:val="22"/>
          <w:lang w:val="uk-UA"/>
        </w:rPr>
        <w:t xml:space="preserve"> постачальників</w:t>
      </w:r>
      <w:r w:rsidR="002B1BF0" w:rsidRPr="008146A4">
        <w:rPr>
          <w:rFonts w:asciiTheme="majorHAnsi" w:hAnsiTheme="majorHAnsi" w:cstheme="majorHAnsi"/>
          <w:sz w:val="22"/>
          <w:lang w:val="uk-UA"/>
        </w:rPr>
        <w:t xml:space="preserve"> для закупівлі </w:t>
      </w:r>
      <w:r w:rsidR="00BE1DD1">
        <w:rPr>
          <w:rFonts w:asciiTheme="majorHAnsi" w:hAnsiTheme="majorHAnsi" w:cstheme="majorHAnsi"/>
          <w:sz w:val="22"/>
          <w:lang w:val="uk-UA"/>
        </w:rPr>
        <w:t>з</w:t>
      </w:r>
      <w:r w:rsidR="00BE1DD1" w:rsidRPr="00BE1DD1">
        <w:rPr>
          <w:rFonts w:asciiTheme="majorHAnsi" w:hAnsiTheme="majorHAnsi" w:cstheme="majorHAnsi"/>
          <w:sz w:val="22"/>
          <w:lang w:val="uk-UA"/>
        </w:rPr>
        <w:t>асоб</w:t>
      </w:r>
      <w:r w:rsidR="00BE1DD1">
        <w:rPr>
          <w:rFonts w:asciiTheme="majorHAnsi" w:hAnsiTheme="majorHAnsi" w:cstheme="majorHAnsi"/>
          <w:sz w:val="22"/>
          <w:lang w:val="uk-UA"/>
        </w:rPr>
        <w:t>ів</w:t>
      </w:r>
      <w:r w:rsidR="00BE1DD1" w:rsidRPr="00BE1DD1">
        <w:rPr>
          <w:rFonts w:asciiTheme="majorHAnsi" w:hAnsiTheme="majorHAnsi" w:cstheme="majorHAnsi"/>
          <w:sz w:val="22"/>
          <w:lang w:val="uk-UA"/>
        </w:rPr>
        <w:t xml:space="preserve"> індивідуального захисту</w:t>
      </w:r>
      <w:r w:rsidR="00BE1DD1">
        <w:rPr>
          <w:rFonts w:asciiTheme="majorHAnsi" w:hAnsiTheme="majorHAnsi" w:cstheme="majorHAnsi"/>
          <w:sz w:val="22"/>
          <w:lang w:val="uk-UA"/>
        </w:rPr>
        <w:t xml:space="preserve"> </w:t>
      </w:r>
      <w:r w:rsidR="00123692">
        <w:rPr>
          <w:rFonts w:asciiTheme="majorHAnsi" w:hAnsiTheme="majorHAnsi" w:cstheme="majorHAnsi"/>
          <w:sz w:val="22"/>
          <w:lang w:val="uk-UA"/>
        </w:rPr>
        <w:t xml:space="preserve">- </w:t>
      </w:r>
      <w:r w:rsidR="002B1BF0" w:rsidRPr="008146A4">
        <w:rPr>
          <w:rFonts w:asciiTheme="majorHAnsi" w:hAnsiTheme="majorHAnsi" w:cstheme="majorHAnsi"/>
          <w:sz w:val="22"/>
          <w:lang w:val="uk-UA"/>
        </w:rPr>
        <w:t>бронежилет</w:t>
      </w:r>
      <w:r w:rsidR="00CA3A9D" w:rsidRPr="008146A4">
        <w:rPr>
          <w:rFonts w:asciiTheme="majorHAnsi" w:hAnsiTheme="majorHAnsi" w:cstheme="majorHAnsi"/>
          <w:sz w:val="22"/>
          <w:lang w:val="uk-UA"/>
        </w:rPr>
        <w:t>ів та шоломів</w:t>
      </w:r>
      <w:r w:rsidR="00D42913" w:rsidRPr="008146A4">
        <w:rPr>
          <w:rFonts w:asciiTheme="majorHAnsi" w:hAnsiTheme="majorHAnsi" w:cstheme="majorHAnsi"/>
          <w:sz w:val="22"/>
          <w:lang w:val="uk-UA"/>
        </w:rPr>
        <w:t>.</w:t>
      </w:r>
      <w:r w:rsidR="008008E2" w:rsidRPr="008146A4">
        <w:rPr>
          <w:rFonts w:asciiTheme="majorHAnsi" w:hAnsiTheme="majorHAnsi" w:cstheme="majorHAnsi"/>
          <w:b/>
          <w:sz w:val="22"/>
          <w:lang w:val="uk-UA"/>
        </w:rPr>
        <w:t xml:space="preserve"> </w:t>
      </w:r>
    </w:p>
    <w:p w14:paraId="5826C0C5" w14:textId="77777777" w:rsidR="00BE495C" w:rsidRPr="00F754E0" w:rsidRDefault="00BE495C" w:rsidP="00BE495C">
      <w:pPr>
        <w:spacing w:after="0"/>
        <w:ind w:left="360"/>
        <w:jc w:val="both"/>
        <w:rPr>
          <w:rFonts w:asciiTheme="majorHAnsi" w:hAnsiTheme="majorHAnsi" w:cstheme="majorHAnsi"/>
          <w:b/>
          <w:sz w:val="22"/>
          <w:lang w:val="uk-UA"/>
        </w:rPr>
      </w:pPr>
    </w:p>
    <w:p w14:paraId="1930A547" w14:textId="6E8DFCC3" w:rsidR="00F30DD3" w:rsidRPr="00F754E0" w:rsidRDefault="008008E2" w:rsidP="000560BB">
      <w:pPr>
        <w:spacing w:after="0"/>
        <w:jc w:val="both"/>
        <w:rPr>
          <w:rFonts w:asciiTheme="majorHAnsi" w:hAnsiTheme="majorHAnsi" w:cstheme="majorHAnsi"/>
          <w:b/>
          <w:sz w:val="22"/>
          <w:lang w:val="uk-UA" w:bidi="en-US"/>
        </w:rPr>
      </w:pPr>
      <w:r w:rsidRPr="008146A4">
        <w:rPr>
          <w:rFonts w:asciiTheme="majorHAnsi" w:hAnsiTheme="majorHAnsi" w:cstheme="majorHAnsi"/>
          <w:b/>
          <w:sz w:val="22"/>
          <w:lang w:val="uk-UA"/>
        </w:rPr>
        <w:lastRenderedPageBreak/>
        <w:t>Оплат</w:t>
      </w:r>
      <w:r w:rsidR="00BE495C" w:rsidRPr="00F754E0">
        <w:rPr>
          <w:rFonts w:asciiTheme="majorHAnsi" w:hAnsiTheme="majorHAnsi" w:cstheme="majorHAnsi"/>
          <w:b/>
          <w:sz w:val="22"/>
          <w:lang w:val="uk-UA"/>
        </w:rPr>
        <w:t>а</w:t>
      </w:r>
      <w:r w:rsidRPr="008146A4">
        <w:rPr>
          <w:rFonts w:asciiTheme="majorHAnsi" w:hAnsiTheme="majorHAnsi" w:cstheme="majorHAnsi"/>
          <w:b/>
          <w:sz w:val="22"/>
          <w:lang w:val="uk-UA"/>
        </w:rPr>
        <w:t xml:space="preserve"> послуг здійснюватиме</w:t>
      </w:r>
      <w:r w:rsidR="00D2326B" w:rsidRPr="00F754E0">
        <w:rPr>
          <w:rFonts w:asciiTheme="majorHAnsi" w:hAnsiTheme="majorHAnsi" w:cstheme="majorHAnsi"/>
          <w:b/>
          <w:sz w:val="22"/>
          <w:lang w:val="uk-UA"/>
        </w:rPr>
        <w:t>ться</w:t>
      </w:r>
      <w:r w:rsidRPr="008146A4">
        <w:rPr>
          <w:rFonts w:asciiTheme="majorHAnsi" w:hAnsiTheme="majorHAnsi" w:cstheme="majorHAnsi"/>
          <w:b/>
          <w:sz w:val="22"/>
          <w:lang w:val="uk-UA"/>
        </w:rPr>
        <w:t xml:space="preserve"> в межах </w:t>
      </w:r>
      <w:r w:rsidR="00335A93" w:rsidRPr="00F754E0">
        <w:rPr>
          <w:rFonts w:asciiTheme="majorHAnsi" w:hAnsiTheme="majorHAnsi" w:cstheme="majorHAnsi"/>
          <w:b/>
          <w:sz w:val="22"/>
          <w:lang w:val="uk-UA"/>
        </w:rPr>
        <w:t xml:space="preserve">проекту </w:t>
      </w:r>
      <w:r w:rsidR="000F432D" w:rsidRPr="008146A4">
        <w:rPr>
          <w:rFonts w:asciiTheme="majorHAnsi" w:hAnsiTheme="majorHAnsi" w:cstheme="majorHAnsi"/>
          <w:b/>
          <w:sz w:val="22"/>
          <w:lang w:val="uk-UA"/>
        </w:rPr>
        <w:t>"Покращення рівня безпечної освіти для дітей та підлітків, які постраждали від війни у Сумській, Харківській та Донецькій областях", що фінансується Департаментом Європейської Комісії з питань цивільного захисту та гуманітарної допомоги (</w:t>
      </w:r>
      <w:r w:rsidR="000F432D" w:rsidRPr="00F754E0">
        <w:rPr>
          <w:rFonts w:asciiTheme="majorHAnsi" w:hAnsiTheme="majorHAnsi" w:cstheme="majorHAnsi"/>
          <w:b/>
          <w:sz w:val="22"/>
        </w:rPr>
        <w:t>ECHO</w:t>
      </w:r>
      <w:r w:rsidR="000F432D" w:rsidRPr="008146A4">
        <w:rPr>
          <w:rFonts w:asciiTheme="majorHAnsi" w:hAnsiTheme="majorHAnsi" w:cstheme="majorHAnsi"/>
          <w:b/>
          <w:sz w:val="22"/>
          <w:lang w:val="uk-UA"/>
        </w:rPr>
        <w:t>)</w:t>
      </w:r>
      <w:r w:rsidR="000F432D" w:rsidRPr="00F754E0">
        <w:rPr>
          <w:rFonts w:asciiTheme="majorHAnsi" w:hAnsiTheme="majorHAnsi" w:cstheme="majorHAnsi"/>
          <w:b/>
          <w:sz w:val="22"/>
          <w:lang w:val="uk-UA"/>
        </w:rPr>
        <w:t>.</w:t>
      </w:r>
    </w:p>
    <w:p w14:paraId="22C0AD9C" w14:textId="395E041F" w:rsidR="00D2326B" w:rsidRPr="004C7DCC" w:rsidRDefault="00D2326B" w:rsidP="004C7DCC">
      <w:pPr>
        <w:rPr>
          <w:rFonts w:asciiTheme="majorHAnsi" w:hAnsiTheme="majorHAnsi" w:cstheme="majorHAnsi"/>
          <w:b/>
          <w:color w:val="0072CE"/>
          <w:sz w:val="22"/>
          <w:lang w:val="uk-UA"/>
        </w:rPr>
      </w:pPr>
    </w:p>
    <w:p w14:paraId="2AAFFED4" w14:textId="51A6D897" w:rsidR="005F3E16" w:rsidRPr="005F3E16" w:rsidRDefault="00B12598" w:rsidP="00805B7C">
      <w:pPr>
        <w:jc w:val="both"/>
        <w:rPr>
          <w:rFonts w:asciiTheme="majorHAnsi" w:hAnsiTheme="majorHAnsi" w:cstheme="majorHAnsi"/>
          <w:sz w:val="22"/>
          <w:lang w:bidi="en-US"/>
        </w:rPr>
      </w:pPr>
      <w:r w:rsidRPr="00496F7F">
        <w:rPr>
          <w:rFonts w:cstheme="minorHAnsi"/>
          <w:sz w:val="22"/>
        </w:rPr>
        <w:t>Representative office of</w:t>
      </w:r>
      <w:r w:rsidR="000B3B13">
        <w:rPr>
          <w:rFonts w:cstheme="minorHAnsi"/>
          <w:sz w:val="22"/>
          <w:lang w:val="uk-UA"/>
        </w:rPr>
        <w:t xml:space="preserve"> </w:t>
      </w:r>
      <w:r w:rsidRPr="00496F7F">
        <w:rPr>
          <w:rFonts w:cstheme="minorHAnsi"/>
          <w:sz w:val="22"/>
        </w:rPr>
        <w:t xml:space="preserve">foreign non-governmental organisation Plan International, Inc. (hereinafter referred to as Plan International) is seeking </w:t>
      </w:r>
      <w:r>
        <w:t>to</w:t>
      </w:r>
      <w:r>
        <w:rPr>
          <w:spacing w:val="25"/>
        </w:rPr>
        <w:t xml:space="preserve"> </w:t>
      </w:r>
      <w:r>
        <w:t>contract</w:t>
      </w:r>
      <w:r>
        <w:rPr>
          <w:spacing w:val="25"/>
        </w:rPr>
        <w:t xml:space="preserve"> </w:t>
      </w:r>
      <w:r>
        <w:t>vendors/</w:t>
      </w:r>
      <w:r w:rsidRPr="005F3E16">
        <w:rPr>
          <w:rFonts w:asciiTheme="majorHAnsi" w:hAnsiTheme="majorHAnsi" w:cstheme="majorHAnsi"/>
          <w:sz w:val="22"/>
        </w:rPr>
        <w:t>suppliers</w:t>
      </w:r>
      <w:r w:rsidRPr="005F3E16">
        <w:rPr>
          <w:rFonts w:asciiTheme="majorHAnsi" w:hAnsiTheme="majorHAnsi" w:cstheme="majorHAnsi"/>
          <w:sz w:val="22"/>
          <w:lang w:val="uk-UA" w:bidi="en-US"/>
        </w:rPr>
        <w:t xml:space="preserve"> </w:t>
      </w:r>
      <w:r w:rsidR="005F3E16" w:rsidRPr="005F3E16">
        <w:rPr>
          <w:rFonts w:asciiTheme="majorHAnsi" w:hAnsiTheme="majorHAnsi" w:cstheme="majorHAnsi"/>
          <w:sz w:val="22"/>
          <w:lang w:bidi="en-US"/>
        </w:rPr>
        <w:t>of</w:t>
      </w:r>
      <w:r w:rsidR="00805B7C" w:rsidRPr="005F3E16">
        <w:rPr>
          <w:rFonts w:asciiTheme="majorHAnsi" w:hAnsiTheme="majorHAnsi" w:cstheme="majorHAnsi"/>
          <w:sz w:val="22"/>
          <w:lang w:val="uk-UA" w:bidi="en-US"/>
        </w:rPr>
        <w:t xml:space="preserve"> </w:t>
      </w:r>
      <w:r w:rsidR="00123692">
        <w:rPr>
          <w:rFonts w:asciiTheme="majorHAnsi" w:hAnsiTheme="majorHAnsi" w:cstheme="majorHAnsi"/>
          <w:sz w:val="22"/>
          <w:lang w:bidi="en-US"/>
        </w:rPr>
        <w:t>p</w:t>
      </w:r>
      <w:r w:rsidR="00123692" w:rsidRPr="00123692">
        <w:rPr>
          <w:rFonts w:asciiTheme="majorHAnsi" w:hAnsiTheme="majorHAnsi" w:cstheme="majorHAnsi"/>
          <w:sz w:val="22"/>
          <w:lang w:val="uk-UA" w:bidi="en-US"/>
        </w:rPr>
        <w:t xml:space="preserve">ersonal </w:t>
      </w:r>
      <w:r w:rsidR="00123692">
        <w:rPr>
          <w:rFonts w:asciiTheme="majorHAnsi" w:hAnsiTheme="majorHAnsi" w:cstheme="majorHAnsi"/>
          <w:sz w:val="22"/>
          <w:lang w:bidi="en-US"/>
        </w:rPr>
        <w:t>p</w:t>
      </w:r>
      <w:r w:rsidR="00123692" w:rsidRPr="00123692">
        <w:rPr>
          <w:rFonts w:asciiTheme="majorHAnsi" w:hAnsiTheme="majorHAnsi" w:cstheme="majorHAnsi"/>
          <w:sz w:val="22"/>
          <w:lang w:val="uk-UA" w:bidi="en-US"/>
        </w:rPr>
        <w:t xml:space="preserve">rotective </w:t>
      </w:r>
      <w:r w:rsidR="00123692">
        <w:rPr>
          <w:rFonts w:asciiTheme="majorHAnsi" w:hAnsiTheme="majorHAnsi" w:cstheme="majorHAnsi"/>
          <w:sz w:val="22"/>
          <w:lang w:bidi="en-US"/>
        </w:rPr>
        <w:t>e</w:t>
      </w:r>
      <w:r w:rsidR="00123692" w:rsidRPr="00123692">
        <w:rPr>
          <w:rFonts w:asciiTheme="majorHAnsi" w:hAnsiTheme="majorHAnsi" w:cstheme="majorHAnsi"/>
          <w:sz w:val="22"/>
          <w:lang w:val="uk-UA" w:bidi="en-US"/>
        </w:rPr>
        <w:t>quipment</w:t>
      </w:r>
      <w:r w:rsidR="006151C2">
        <w:rPr>
          <w:rFonts w:asciiTheme="majorHAnsi" w:hAnsiTheme="majorHAnsi" w:cstheme="majorHAnsi"/>
          <w:sz w:val="22"/>
          <w:lang w:bidi="en-US"/>
        </w:rPr>
        <w:t xml:space="preserve"> - </w:t>
      </w:r>
      <w:r w:rsidR="00805B7C" w:rsidRPr="005F3E16">
        <w:rPr>
          <w:rFonts w:asciiTheme="majorHAnsi" w:hAnsiTheme="majorHAnsi" w:cstheme="majorHAnsi"/>
          <w:sz w:val="22"/>
          <w:lang w:val="uk-UA" w:bidi="en-US"/>
        </w:rPr>
        <w:t xml:space="preserve">body armor and helmets. </w:t>
      </w:r>
    </w:p>
    <w:p w14:paraId="007B8F3A" w14:textId="4ED70A39" w:rsidR="00805B7C" w:rsidRPr="00805B7C" w:rsidRDefault="00805B7C" w:rsidP="00805B7C">
      <w:pPr>
        <w:jc w:val="both"/>
        <w:rPr>
          <w:rFonts w:asciiTheme="majorHAnsi" w:hAnsiTheme="majorHAnsi" w:cstheme="majorHAnsi"/>
          <w:b/>
          <w:bCs/>
          <w:sz w:val="22"/>
          <w:lang w:val="uk-UA" w:bidi="en-US"/>
        </w:rPr>
      </w:pPr>
      <w:r w:rsidRPr="00805B7C">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tbl>
      <w:tblPr>
        <w:tblW w:w="9780" w:type="dxa"/>
        <w:tblLook w:val="04A0" w:firstRow="1" w:lastRow="0" w:firstColumn="1" w:lastColumn="0" w:noHBand="0" w:noVBand="1"/>
      </w:tblPr>
      <w:tblGrid>
        <w:gridCol w:w="7508"/>
        <w:gridCol w:w="992"/>
        <w:gridCol w:w="1280"/>
      </w:tblGrid>
      <w:tr w:rsidR="00154672" w:rsidRPr="00154672" w14:paraId="3A395EED" w14:textId="77777777" w:rsidTr="00154672">
        <w:trPr>
          <w:trHeight w:val="580"/>
        </w:trPr>
        <w:tc>
          <w:tcPr>
            <w:tcW w:w="7508" w:type="dxa"/>
            <w:tcBorders>
              <w:top w:val="single" w:sz="4" w:space="0" w:color="auto"/>
              <w:left w:val="single" w:sz="4" w:space="0" w:color="auto"/>
              <w:bottom w:val="nil"/>
              <w:right w:val="nil"/>
            </w:tcBorders>
            <w:shd w:val="clear" w:color="auto" w:fill="auto"/>
            <w:vAlign w:val="center"/>
            <w:hideMark/>
          </w:tcPr>
          <w:p w14:paraId="69FF6C21"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Items / Description</w:t>
            </w: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06E42F2B"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Qty</w:t>
            </w:r>
          </w:p>
        </w:tc>
        <w:tc>
          <w:tcPr>
            <w:tcW w:w="1280" w:type="dxa"/>
            <w:tcBorders>
              <w:top w:val="single" w:sz="4" w:space="0" w:color="auto"/>
              <w:left w:val="nil"/>
              <w:bottom w:val="nil"/>
              <w:right w:val="single" w:sz="4" w:space="0" w:color="auto"/>
            </w:tcBorders>
            <w:shd w:val="clear" w:color="auto" w:fill="auto"/>
            <w:vAlign w:val="center"/>
            <w:hideMark/>
          </w:tcPr>
          <w:p w14:paraId="7AF23DCA"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Unit</w:t>
            </w:r>
          </w:p>
        </w:tc>
      </w:tr>
      <w:tr w:rsidR="00154672" w:rsidRPr="00154672" w14:paraId="0FBEBD73" w14:textId="77777777" w:rsidTr="00154672">
        <w:trPr>
          <w:trHeight w:val="2150"/>
        </w:trPr>
        <w:tc>
          <w:tcPr>
            <w:tcW w:w="7508" w:type="dxa"/>
            <w:tcBorders>
              <w:top w:val="single" w:sz="4" w:space="0" w:color="auto"/>
              <w:left w:val="single" w:sz="4" w:space="0" w:color="auto"/>
              <w:bottom w:val="single" w:sz="4" w:space="0" w:color="auto"/>
              <w:right w:val="nil"/>
            </w:tcBorders>
            <w:shd w:val="clear" w:color="000000" w:fill="9BC2E6"/>
            <w:vAlign w:val="center"/>
            <w:hideMark/>
          </w:tcPr>
          <w:p w14:paraId="5FE80EC8" w14:textId="77777777" w:rsidR="000560BB" w:rsidRDefault="000560BB" w:rsidP="00870008">
            <w:pPr>
              <w:spacing w:after="0"/>
              <w:rPr>
                <w:rFonts w:asciiTheme="majorHAnsi" w:eastAsia="Times New Roman" w:hAnsiTheme="majorHAnsi" w:cstheme="majorHAnsi"/>
                <w:b/>
                <w:bCs/>
                <w:color w:val="auto"/>
                <w:szCs w:val="20"/>
                <w:lang w:val="ru-RU" w:eastAsia="en-GB"/>
              </w:rPr>
            </w:pPr>
          </w:p>
          <w:p w14:paraId="4C08F756" w14:textId="0F057862" w:rsidR="00870008" w:rsidRDefault="0024289E" w:rsidP="00870008">
            <w:pPr>
              <w:spacing w:after="0"/>
              <w:rPr>
                <w:rFonts w:asciiTheme="majorHAnsi" w:eastAsia="Times New Roman" w:hAnsiTheme="majorHAnsi" w:cstheme="majorHAnsi"/>
                <w:color w:val="auto"/>
                <w:szCs w:val="20"/>
                <w:lang w:val="ru-RU" w:eastAsia="en-GB"/>
              </w:rPr>
            </w:pPr>
            <w:r w:rsidRPr="00154672">
              <w:rPr>
                <w:rFonts w:asciiTheme="majorHAnsi" w:eastAsia="Times New Roman" w:hAnsiTheme="majorHAnsi" w:cstheme="majorHAnsi"/>
                <w:b/>
                <w:bCs/>
                <w:color w:val="auto"/>
                <w:szCs w:val="20"/>
                <w:lang w:val="ru-RU" w:eastAsia="en-GB"/>
              </w:rPr>
              <w:t>Personal Protective Equipment (Neutral Colour, Blue/Black/Beige).</w:t>
            </w:r>
            <w:r w:rsidR="00454637" w:rsidRPr="00154672">
              <w:rPr>
                <w:rFonts w:asciiTheme="majorHAnsi" w:eastAsia="Times New Roman" w:hAnsiTheme="majorHAnsi" w:cstheme="majorHAnsi"/>
                <w:b/>
                <w:bCs/>
                <w:color w:val="auto"/>
                <w:szCs w:val="20"/>
                <w:lang w:eastAsia="en-GB"/>
              </w:rPr>
              <w:t xml:space="preserve">           </w:t>
            </w:r>
            <w:r w:rsidRPr="00154672">
              <w:rPr>
                <w:rFonts w:asciiTheme="majorHAnsi" w:eastAsia="Times New Roman" w:hAnsiTheme="majorHAnsi" w:cstheme="majorHAnsi"/>
                <w:b/>
                <w:bCs/>
                <w:color w:val="auto"/>
                <w:szCs w:val="20"/>
                <w:lang w:val="ru-RU" w:eastAsia="en-GB"/>
              </w:rPr>
              <w:t xml:space="preserve"> </w:t>
            </w:r>
            <w:r w:rsidRPr="00154672">
              <w:rPr>
                <w:rFonts w:asciiTheme="majorHAnsi" w:eastAsia="Times New Roman" w:hAnsiTheme="majorHAnsi" w:cstheme="majorHAnsi"/>
                <w:color w:val="auto"/>
                <w:szCs w:val="20"/>
                <w:lang w:val="ru-RU" w:eastAsia="en-GB"/>
              </w:rPr>
              <w:t xml:space="preserve">Plate Carrier (NIJ Level III or IV) with protective side Panels. Include groin protector if possible. If female sizes available, 65% of body armour of this type   (4 female and 4 male, total 6)                                                                                                                               </w:t>
            </w:r>
            <w:r w:rsidR="00154672" w:rsidRPr="00154672">
              <w:rPr>
                <w:rFonts w:asciiTheme="majorHAnsi" w:eastAsia="Times New Roman" w:hAnsiTheme="majorHAnsi" w:cstheme="majorHAnsi"/>
                <w:color w:val="auto"/>
                <w:szCs w:val="20"/>
                <w:lang w:eastAsia="en-GB"/>
              </w:rPr>
              <w:t xml:space="preserve"> </w:t>
            </w:r>
            <w:r w:rsidRPr="00154672">
              <w:rPr>
                <w:rFonts w:asciiTheme="majorHAnsi" w:eastAsia="Times New Roman" w:hAnsiTheme="majorHAnsi" w:cstheme="majorHAnsi"/>
                <w:b/>
                <w:bCs/>
                <w:color w:val="auto"/>
                <w:szCs w:val="20"/>
                <w:lang w:val="ru-RU" w:eastAsia="en-GB"/>
              </w:rPr>
              <w:t xml:space="preserve">Засоби індивідуального захисту (нейтральні кольори: синій/чорний/бежевий).   </w:t>
            </w:r>
            <w:r w:rsidRPr="00154672">
              <w:rPr>
                <w:rFonts w:asciiTheme="majorHAnsi" w:eastAsia="Times New Roman" w:hAnsiTheme="majorHAnsi" w:cstheme="majorHAnsi"/>
                <w:color w:val="auto"/>
                <w:szCs w:val="20"/>
                <w:lang w:val="ru-RU" w:eastAsia="en-GB"/>
              </w:rPr>
              <w:t>Бронежилет (Національний інститут правосуддя - рівень III або IV) з захисними боковими панелями. Якщо можливо, включити захист для промежини. Якщо є розміри для жінок, 65% від загальної кількості цього типу бронежилетів (4 для жінок, 2 для чоловіків). Бокові панелі PPE та захист для промежини можуть бути з поліетилену (PE) або Кевлару.</w:t>
            </w:r>
          </w:p>
          <w:p w14:paraId="69993CD2" w14:textId="77777777" w:rsidR="000560BB" w:rsidRDefault="000560BB" w:rsidP="00870008">
            <w:pPr>
              <w:spacing w:after="0"/>
              <w:rPr>
                <w:rFonts w:asciiTheme="majorHAnsi" w:eastAsia="Times New Roman" w:hAnsiTheme="majorHAnsi" w:cstheme="majorHAnsi"/>
                <w:color w:val="auto"/>
                <w:szCs w:val="20"/>
                <w:lang w:val="ru-RU" w:eastAsia="en-GB"/>
              </w:rPr>
            </w:pPr>
          </w:p>
          <w:p w14:paraId="45FB7D58" w14:textId="61A7B7F3" w:rsidR="000560BB" w:rsidRPr="00154672" w:rsidRDefault="000560BB" w:rsidP="00870008">
            <w:pPr>
              <w:spacing w:after="0"/>
              <w:rPr>
                <w:rFonts w:asciiTheme="majorHAnsi" w:eastAsia="Times New Roman" w:hAnsiTheme="majorHAnsi" w:cstheme="majorHAnsi"/>
                <w:color w:val="auto"/>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046B3D" w14:textId="589B7CBC" w:rsidR="00870008" w:rsidRPr="00154672" w:rsidRDefault="00154672" w:rsidP="00870008">
            <w:pPr>
              <w:spacing w:after="0"/>
              <w:jc w:val="center"/>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color w:val="auto"/>
                <w:szCs w:val="20"/>
                <w:lang w:eastAsia="en-GB"/>
              </w:rPr>
              <w:t>6</w:t>
            </w:r>
          </w:p>
        </w:tc>
        <w:tc>
          <w:tcPr>
            <w:tcW w:w="1280" w:type="dxa"/>
            <w:tcBorders>
              <w:top w:val="single" w:sz="4" w:space="0" w:color="auto"/>
              <w:left w:val="nil"/>
              <w:bottom w:val="single" w:sz="4" w:space="0" w:color="auto"/>
              <w:right w:val="single" w:sz="4" w:space="0" w:color="auto"/>
            </w:tcBorders>
            <w:shd w:val="clear" w:color="000000" w:fill="9BC2E6"/>
            <w:noWrap/>
            <w:vAlign w:val="center"/>
            <w:hideMark/>
          </w:tcPr>
          <w:p w14:paraId="3092EDEF" w14:textId="77777777" w:rsidR="00870008" w:rsidRPr="00154672" w:rsidRDefault="00870008" w:rsidP="00870008">
            <w:pPr>
              <w:spacing w:after="0"/>
              <w:jc w:val="center"/>
              <w:rPr>
                <w:rFonts w:asciiTheme="majorHAnsi" w:eastAsia="Times New Roman" w:hAnsiTheme="majorHAnsi" w:cstheme="majorHAnsi"/>
                <w:color w:val="auto"/>
                <w:szCs w:val="20"/>
                <w:lang w:eastAsia="en-GB"/>
              </w:rPr>
            </w:pPr>
            <w:proofErr w:type="spellStart"/>
            <w:r w:rsidRPr="00154672">
              <w:rPr>
                <w:rFonts w:asciiTheme="majorHAnsi" w:eastAsia="Times New Roman" w:hAnsiTheme="majorHAnsi" w:cstheme="majorHAnsi"/>
                <w:color w:val="auto"/>
                <w:szCs w:val="20"/>
                <w:lang w:eastAsia="en-GB"/>
              </w:rPr>
              <w:t>шт</w:t>
            </w:r>
            <w:proofErr w:type="spellEnd"/>
            <w:r w:rsidRPr="00154672">
              <w:rPr>
                <w:rFonts w:asciiTheme="majorHAnsi" w:eastAsia="Times New Roman" w:hAnsiTheme="majorHAnsi" w:cstheme="majorHAnsi"/>
                <w:color w:val="auto"/>
                <w:szCs w:val="20"/>
                <w:lang w:eastAsia="en-GB"/>
              </w:rPr>
              <w:t>.</w:t>
            </w:r>
          </w:p>
        </w:tc>
      </w:tr>
      <w:tr w:rsidR="00154672" w:rsidRPr="00154672" w14:paraId="4FE59EDC" w14:textId="77777777" w:rsidTr="00154672">
        <w:trPr>
          <w:trHeight w:val="1683"/>
        </w:trPr>
        <w:tc>
          <w:tcPr>
            <w:tcW w:w="7508" w:type="dxa"/>
            <w:tcBorders>
              <w:top w:val="single" w:sz="4" w:space="0" w:color="auto"/>
              <w:left w:val="single" w:sz="4" w:space="0" w:color="auto"/>
              <w:bottom w:val="single" w:sz="4" w:space="0" w:color="auto"/>
              <w:right w:val="nil"/>
            </w:tcBorders>
            <w:shd w:val="clear" w:color="000000" w:fill="9BC2E6"/>
            <w:vAlign w:val="center"/>
            <w:hideMark/>
          </w:tcPr>
          <w:p w14:paraId="23768D2A" w14:textId="505BB706" w:rsidR="00870008" w:rsidRPr="00154672" w:rsidRDefault="00454637" w:rsidP="00870008">
            <w:pPr>
              <w:spacing w:after="0"/>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b/>
                <w:bCs/>
                <w:color w:val="auto"/>
                <w:szCs w:val="20"/>
                <w:lang w:val="ru-RU" w:eastAsia="en-GB"/>
              </w:rPr>
              <w:t xml:space="preserve">Helmet (Neutral Colour, Blue/Black/Beige) </w:t>
            </w:r>
            <w:r w:rsidRPr="00154672">
              <w:rPr>
                <w:rFonts w:asciiTheme="majorHAnsi" w:eastAsia="Times New Roman" w:hAnsiTheme="majorHAnsi" w:cstheme="majorHAnsi"/>
                <w:color w:val="auto"/>
                <w:szCs w:val="20"/>
                <w:lang w:val="ru-RU" w:eastAsia="en-GB"/>
              </w:rPr>
              <w:t xml:space="preserve">Helmet with adjustable fitting                                                                                                </w:t>
            </w:r>
            <w:r w:rsidRPr="00154672">
              <w:rPr>
                <w:rFonts w:asciiTheme="majorHAnsi" w:eastAsia="Times New Roman" w:hAnsiTheme="majorHAnsi" w:cstheme="majorHAnsi"/>
                <w:b/>
                <w:bCs/>
                <w:color w:val="auto"/>
                <w:szCs w:val="20"/>
                <w:lang w:val="ru-RU" w:eastAsia="en-GB"/>
              </w:rPr>
              <w:t xml:space="preserve">Шолом (нейтральні кольори: синій/чорний/бежевий). </w:t>
            </w:r>
            <w:r w:rsidRPr="00154672">
              <w:rPr>
                <w:rFonts w:asciiTheme="majorHAnsi" w:eastAsia="Times New Roman" w:hAnsiTheme="majorHAnsi" w:cstheme="majorHAnsi"/>
                <w:color w:val="auto"/>
                <w:szCs w:val="20"/>
                <w:lang w:val="ru-RU" w:eastAsia="en-GB"/>
              </w:rPr>
              <w:t>Шолом з матеріалу Кевлар або PE, з регульованими ременями. М’які набивні вставки зсередини для комфорту та додаткового захисту.</w:t>
            </w:r>
          </w:p>
        </w:tc>
        <w:tc>
          <w:tcPr>
            <w:tcW w:w="992" w:type="dxa"/>
            <w:tcBorders>
              <w:top w:val="nil"/>
              <w:left w:val="single" w:sz="4" w:space="0" w:color="auto"/>
              <w:bottom w:val="single" w:sz="4" w:space="0" w:color="auto"/>
              <w:right w:val="single" w:sz="4" w:space="0" w:color="auto"/>
            </w:tcBorders>
            <w:shd w:val="clear" w:color="000000" w:fill="9BC2E6"/>
            <w:noWrap/>
            <w:vAlign w:val="center"/>
            <w:hideMark/>
          </w:tcPr>
          <w:p w14:paraId="16125A6E" w14:textId="730CFCE6" w:rsidR="00870008" w:rsidRPr="00154672" w:rsidRDefault="00154672" w:rsidP="00870008">
            <w:pPr>
              <w:spacing w:after="0"/>
              <w:jc w:val="center"/>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color w:val="auto"/>
                <w:szCs w:val="20"/>
                <w:lang w:eastAsia="en-GB"/>
              </w:rPr>
              <w:t>6</w:t>
            </w:r>
          </w:p>
        </w:tc>
        <w:tc>
          <w:tcPr>
            <w:tcW w:w="1280" w:type="dxa"/>
            <w:tcBorders>
              <w:top w:val="nil"/>
              <w:left w:val="nil"/>
              <w:bottom w:val="single" w:sz="4" w:space="0" w:color="auto"/>
              <w:right w:val="single" w:sz="4" w:space="0" w:color="auto"/>
            </w:tcBorders>
            <w:shd w:val="clear" w:color="000000" w:fill="9BC2E6"/>
            <w:noWrap/>
            <w:vAlign w:val="center"/>
            <w:hideMark/>
          </w:tcPr>
          <w:p w14:paraId="5923DD17" w14:textId="77777777" w:rsidR="00870008" w:rsidRPr="00154672" w:rsidRDefault="00870008" w:rsidP="00870008">
            <w:pPr>
              <w:spacing w:after="0"/>
              <w:jc w:val="center"/>
              <w:rPr>
                <w:rFonts w:asciiTheme="majorHAnsi" w:eastAsia="Times New Roman" w:hAnsiTheme="majorHAnsi" w:cstheme="majorHAnsi"/>
                <w:color w:val="auto"/>
                <w:szCs w:val="20"/>
                <w:lang w:eastAsia="en-GB"/>
              </w:rPr>
            </w:pPr>
            <w:proofErr w:type="spellStart"/>
            <w:r w:rsidRPr="00154672">
              <w:rPr>
                <w:rFonts w:asciiTheme="majorHAnsi" w:eastAsia="Times New Roman" w:hAnsiTheme="majorHAnsi" w:cstheme="majorHAnsi"/>
                <w:color w:val="auto"/>
                <w:szCs w:val="20"/>
                <w:lang w:eastAsia="en-GB"/>
              </w:rPr>
              <w:t>шт</w:t>
            </w:r>
            <w:proofErr w:type="spellEnd"/>
            <w:r w:rsidRPr="00154672">
              <w:rPr>
                <w:rFonts w:asciiTheme="majorHAnsi" w:eastAsia="Times New Roman" w:hAnsiTheme="majorHAnsi" w:cstheme="majorHAnsi"/>
                <w:color w:val="auto"/>
                <w:szCs w:val="20"/>
                <w:lang w:eastAsia="en-GB"/>
              </w:rPr>
              <w:t>.</w:t>
            </w:r>
          </w:p>
        </w:tc>
      </w:tr>
    </w:tbl>
    <w:p w14:paraId="2C718BAC" w14:textId="77777777" w:rsidR="00387CC2" w:rsidRDefault="00387CC2" w:rsidP="00387CC2">
      <w:pPr>
        <w:tabs>
          <w:tab w:val="left" w:pos="994"/>
        </w:tabs>
        <w:ind w:right="835"/>
        <w:rPr>
          <w:sz w:val="24"/>
        </w:rPr>
      </w:pP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7B0A9846" w14:textId="5B608840" w:rsidR="00D768D2" w:rsidRPr="008E3FAE" w:rsidRDefault="00366783"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 xml:space="preserve">Correspondence to Technical </w:t>
      </w:r>
      <w:proofErr w:type="gramStart"/>
      <w:r w:rsidR="00D768D2" w:rsidRPr="008E3FAE">
        <w:rPr>
          <w:rFonts w:asciiTheme="majorHAnsi" w:hAnsiTheme="majorHAnsi" w:cstheme="majorHAnsi"/>
          <w:sz w:val="24"/>
          <w:szCs w:val="24"/>
        </w:rPr>
        <w:t>Specifications;</w:t>
      </w:r>
      <w:proofErr w:type="gramEnd"/>
      <w:r w:rsidR="00D768D2" w:rsidRPr="008E3FAE">
        <w:rPr>
          <w:rFonts w:asciiTheme="majorHAnsi" w:hAnsiTheme="majorHAnsi" w:cstheme="majorHAnsi"/>
          <w:sz w:val="24"/>
          <w:szCs w:val="24"/>
        </w:rPr>
        <w:t xml:space="preserve"> </w:t>
      </w:r>
    </w:p>
    <w:p w14:paraId="6080A479" w14:textId="70CAE334"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FB7E52">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proofErr w:type="gramStart"/>
      <w:r w:rsidRPr="008E3FAE">
        <w:rPr>
          <w:rFonts w:asciiTheme="majorHAnsi" w:hAnsiTheme="majorHAnsi" w:cstheme="majorHAnsi"/>
          <w:sz w:val="24"/>
          <w:szCs w:val="24"/>
        </w:rPr>
        <w:t>quality;</w:t>
      </w:r>
      <w:proofErr w:type="gramEnd"/>
    </w:p>
    <w:p w14:paraId="4232974A" w14:textId="77777777"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29E2C9DA" w14:textId="77777777" w:rsidR="00D768D2" w:rsidRPr="008E3FAE" w:rsidRDefault="00D768D2" w:rsidP="00D768D2">
      <w:pPr>
        <w:jc w:val="both"/>
        <w:rPr>
          <w:rFonts w:asciiTheme="majorHAnsi" w:hAnsiTheme="majorHAnsi" w:cstheme="majorHAnsi"/>
          <w:sz w:val="24"/>
          <w:szCs w:val="24"/>
          <w:lang w:val="uk-UA"/>
        </w:rPr>
      </w:pPr>
    </w:p>
    <w:p w14:paraId="7C666D1C" w14:textId="48D52C78"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 xml:space="preserve">1. Відповідність технічним характеристикам; </w:t>
      </w:r>
    </w:p>
    <w:p w14:paraId="0074BEDE" w14:textId="77777777"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2. Продукція високої якості;</w:t>
      </w:r>
    </w:p>
    <w:p w14:paraId="4C9005C1" w14:textId="530F795C" w:rsidR="00870008" w:rsidRPr="008146A4" w:rsidRDefault="00D768D2" w:rsidP="00D768D2">
      <w:pPr>
        <w:pStyle w:val="BodyText"/>
        <w:spacing w:before="10"/>
        <w:ind w:firstLine="541"/>
        <w:rPr>
          <w:rFonts w:asciiTheme="majorHAnsi" w:hAnsiTheme="majorHAnsi" w:cstheme="majorHAnsi"/>
          <w:b w:val="0"/>
          <w:bCs/>
          <w:lang w:val="uk-UA"/>
        </w:rPr>
      </w:pPr>
      <w:r w:rsidRPr="008E3FAE">
        <w:rPr>
          <w:rFonts w:asciiTheme="majorHAnsi" w:hAnsiTheme="majorHAnsi" w:cstheme="majorHAnsi"/>
          <w:b w:val="0"/>
          <w:bCs/>
          <w:lang w:val="uk-UA"/>
        </w:rPr>
        <w:t xml:space="preserve"> </w:t>
      </w:r>
      <w:r w:rsidRPr="008146A4">
        <w:rPr>
          <w:rFonts w:asciiTheme="majorHAnsi" w:hAnsiTheme="majorHAnsi" w:cstheme="majorHAnsi"/>
          <w:b w:val="0"/>
          <w:bCs/>
          <w:lang w:val="uk-UA"/>
        </w:rPr>
        <w:t>3. Швидка доставка.</w:t>
      </w:r>
    </w:p>
    <w:p w14:paraId="50F884F4" w14:textId="77777777" w:rsidR="00D768D2" w:rsidRPr="008146A4" w:rsidRDefault="00D768D2" w:rsidP="00D768D2">
      <w:pPr>
        <w:pStyle w:val="BodyText"/>
        <w:spacing w:before="10"/>
        <w:ind w:firstLine="541"/>
        <w:rPr>
          <w:rFonts w:asciiTheme="majorHAnsi" w:hAnsiTheme="majorHAnsi" w:cstheme="majorHAnsi"/>
          <w:b w:val="0"/>
          <w:bCs/>
          <w:lang w:val="uk-UA"/>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lastRenderedPageBreak/>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C13FA01" w:rsidR="007A24FC" w:rsidRPr="00F00817" w:rsidRDefault="007A24FC" w:rsidP="00F00817">
            <w:pPr>
              <w:pStyle w:val="norm"/>
              <w:keepNext w:val="0"/>
              <w:spacing w:before="0" w:after="0"/>
              <w:jc w:val="both"/>
              <w:outlineLvl w:val="9"/>
              <w:rPr>
                <w:rFonts w:cstheme="majorHAnsi"/>
                <w:szCs w:val="22"/>
              </w:rPr>
            </w:pPr>
            <w:r>
              <w:rPr>
                <w:rFonts w:eastAsiaTheme="minorEastAsia" w:cstheme="majorHAnsi"/>
                <w:bCs w:val="0"/>
                <w:i w:val="0"/>
                <w:iCs w:val="0"/>
                <w:szCs w:val="22"/>
              </w:rPr>
              <w:t xml:space="preserve">Copy of </w:t>
            </w:r>
            <w:r w:rsidR="00DE3F03">
              <w:rPr>
                <w:rFonts w:eastAsiaTheme="minorEastAsia" w:cstheme="majorHAnsi"/>
                <w:bCs w:val="0"/>
                <w:i w:val="0"/>
                <w:iCs w:val="0"/>
                <w:szCs w:val="22"/>
              </w:rPr>
              <w:t xml:space="preserve">supplier </w:t>
            </w:r>
            <w:r>
              <w:rPr>
                <w:rFonts w:eastAsiaTheme="minorEastAsia" w:cstheme="majorHAnsi"/>
                <w:bCs w:val="0"/>
                <w:i w:val="0"/>
                <w:iCs w:val="0"/>
                <w:szCs w:val="22"/>
              </w:rPr>
              <w:t xml:space="preserve">registration documents </w:t>
            </w:r>
            <w:r w:rsidR="00DE3F03">
              <w:rPr>
                <w:rFonts w:eastAsiaTheme="minorEastAsia" w:cstheme="majorHAnsi"/>
                <w:bCs w:val="0"/>
                <w:i w:val="0"/>
                <w:iCs w:val="0"/>
                <w:szCs w:val="22"/>
              </w:rPr>
              <w:t xml:space="preserve">and all necessary products certificates and </w:t>
            </w:r>
            <w:r w:rsidR="00122F47">
              <w:rPr>
                <w:rFonts w:eastAsiaTheme="minorEastAsia" w:cstheme="majorHAnsi"/>
                <w:bCs w:val="0"/>
                <w:i w:val="0"/>
                <w:iCs w:val="0"/>
                <w:szCs w:val="22"/>
              </w:rPr>
              <w:t>licenses /</w:t>
            </w:r>
            <w:r w:rsid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Копії</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реєстраційних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документів</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постачальника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та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всіх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необхідних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сертифікатів</w:t>
            </w:r>
            <w:proofErr w:type="spellEnd"/>
            <w:r w:rsidR="00F00817" w:rsidRPr="00F00817">
              <w:rPr>
                <w:rFonts w:eastAsiaTheme="minorEastAsia" w:cstheme="majorHAnsi"/>
                <w:bCs w:val="0"/>
                <w:i w:val="0"/>
                <w:iCs w:val="0"/>
                <w:szCs w:val="22"/>
              </w:rPr>
              <w:t xml:space="preserve"> і </w:t>
            </w:r>
            <w:proofErr w:type="spellStart"/>
            <w:r w:rsidR="00F00817" w:rsidRPr="00F00817">
              <w:rPr>
                <w:rFonts w:eastAsiaTheme="minorEastAsia" w:cstheme="majorHAnsi"/>
                <w:bCs w:val="0"/>
                <w:i w:val="0"/>
                <w:iCs w:val="0"/>
                <w:szCs w:val="22"/>
              </w:rPr>
              <w:t>ліцензій</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продукцію</w:t>
            </w:r>
            <w:proofErr w:type="spellEnd"/>
            <w:r w:rsidR="00F00817" w:rsidRPr="00F00817">
              <w:rPr>
                <w:rFonts w:cstheme="majorHAnsi"/>
                <w:szCs w:val="22"/>
              </w:rPr>
              <w:t xml:space="preserve"> </w:t>
            </w:r>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332773AD"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E83192">
        <w:rPr>
          <w:rStyle w:val="Hyperlink"/>
          <w:rFonts w:asciiTheme="majorHAnsi" w:hAnsiTheme="majorHAnsi" w:cstheme="majorHAnsi"/>
          <w:sz w:val="22"/>
          <w:lang w:val="uk-UA"/>
        </w:rPr>
        <w:t>.</w:t>
      </w:r>
      <w:ins w:id="2" w:author="Microsoft Word" w:date="2024-11-19T13:17:00Z" w16du:dateUtc="2024-11-19T11:17:00Z">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r w:rsidR="00B047C6">
          <w:rPr>
            <w:rFonts w:asciiTheme="majorHAnsi" w:hAnsiTheme="majorHAnsi" w:cstheme="majorHAnsi"/>
            <w:sz w:val="22"/>
          </w:rPr>
          <w:fldChar w:fldCharType="begin"/>
        </w:r>
        <w:r w:rsidR="00B047C6">
          <w:rPr>
            <w:rFonts w:asciiTheme="majorHAnsi" w:hAnsiTheme="majorHAnsi" w:cstheme="majorHAnsi"/>
            <w:sz w:val="22"/>
          </w:rPr>
          <w:instrText>HYPERLINK "mailto:</w:instrText>
        </w:r>
        <w:r w:rsidR="00B047C6" w:rsidRPr="00B047C6">
          <w:rPr>
            <w:rFonts w:asciiTheme="majorHAnsi" w:hAnsiTheme="majorHAnsi" w:cstheme="majorHAnsi"/>
            <w:sz w:val="22"/>
          </w:rPr>
          <w:instrText>mykhailo.prokopets</w:instrText>
        </w:r>
        <w:r w:rsidR="00B047C6" w:rsidRPr="00B047C6">
          <w:rPr>
            <w:rFonts w:asciiTheme="majorHAnsi" w:hAnsiTheme="majorHAnsi" w:cstheme="majorHAnsi"/>
            <w:sz w:val="22"/>
            <w:lang w:val="en-US"/>
          </w:rPr>
          <w:instrText>@plan-international.org</w:instrText>
        </w:r>
        <w:r w:rsidR="00B047C6">
          <w:rPr>
            <w:rFonts w:asciiTheme="majorHAnsi" w:hAnsiTheme="majorHAnsi" w:cstheme="majorHAnsi"/>
            <w:sz w:val="22"/>
          </w:rPr>
          <w:instrText>"</w:instrText>
        </w:r>
        <w:r w:rsidR="00B047C6">
          <w:rPr>
            <w:rFonts w:asciiTheme="majorHAnsi" w:hAnsiTheme="majorHAnsi" w:cstheme="majorHAnsi"/>
            <w:sz w:val="22"/>
          </w:rPr>
        </w:r>
        <w:r w:rsidR="00B047C6">
          <w:rPr>
            <w:rFonts w:asciiTheme="majorHAnsi" w:hAnsiTheme="majorHAnsi" w:cstheme="majorHAnsi"/>
            <w:sz w:val="22"/>
          </w:rPr>
          <w:fldChar w:fldCharType="separate"/>
        </w:r>
        <w:r w:rsidR="00B047C6" w:rsidRPr="00946FC4">
          <w:rPr>
            <w:rStyle w:val="Hyperlink"/>
            <w:rFonts w:asciiTheme="majorHAnsi" w:hAnsiTheme="majorHAnsi" w:cstheme="majorHAnsi"/>
            <w:sz w:val="22"/>
          </w:rPr>
          <w:t>mykhailo.prokopets</w:t>
        </w:r>
        <w:r w:rsidR="00B047C6" w:rsidRPr="00946FC4">
          <w:rPr>
            <w:rStyle w:val="Hyperlink"/>
            <w:rFonts w:asciiTheme="majorHAnsi" w:hAnsiTheme="majorHAnsi" w:cstheme="majorHAnsi"/>
            <w:sz w:val="22"/>
            <w:lang w:val="en-US"/>
          </w:rPr>
          <w:t>@plan-international.org</w:t>
        </w:r>
        <w:r w:rsidR="00B047C6">
          <w:rPr>
            <w:rFonts w:asciiTheme="majorHAnsi" w:hAnsiTheme="majorHAnsi" w:cstheme="majorHAnsi"/>
            <w:sz w:val="22"/>
          </w:rPr>
          <w:fldChar w:fldCharType="end"/>
        </w:r>
        <w:r w:rsidR="007F7DBC">
          <w:rPr>
            <w:rFonts w:asciiTheme="majorHAnsi" w:hAnsiTheme="majorHAnsi" w:cstheme="majorHAnsi"/>
            <w:sz w:val="22"/>
            <w:lang w:val="uk-UA"/>
          </w:rPr>
          <w:t>,</w:t>
        </w:r>
      </w:ins>
      <w:r w:rsidR="00154672">
        <w:rPr>
          <w:rFonts w:asciiTheme="majorHAnsi" w:hAnsiTheme="majorHAnsi" w:cstheme="majorHAnsi"/>
          <w:sz w:val="22"/>
        </w:rPr>
        <w:t xml:space="preserve"> </w:t>
      </w:r>
      <w:ins w:id="3" w:author="Microsoft Word" w:date="2024-11-19T13:17:00Z" w16du:dateUtc="2024-11-19T11:17:00Z">
        <w:r w:rsidR="007F7DBC">
          <w:fldChar w:fldCharType="begin"/>
        </w:r>
        <w:r w:rsidR="007F7DBC">
          <w:instrText>HYPERLINK "mailto:iryna.gaidai@plan-international.org"</w:instrText>
        </w:r>
        <w:r w:rsidR="007F7DBC">
          <w:fldChar w:fldCharType="separate"/>
        </w:r>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r w:rsidR="007F7DBC">
          <w:rPr>
            <w:rStyle w:val="Hyperlink"/>
          </w:rPr>
          <w:fldChar w:fldCharType="end"/>
        </w:r>
      </w:ins>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lastRenderedPageBreak/>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D57D6" w14:textId="77777777" w:rsidR="00405184" w:rsidRDefault="00405184" w:rsidP="001A5060">
      <w:pPr>
        <w:spacing w:after="0"/>
      </w:pPr>
      <w:r>
        <w:separator/>
      </w:r>
    </w:p>
  </w:endnote>
  <w:endnote w:type="continuationSeparator" w:id="0">
    <w:p w14:paraId="6034EEB3" w14:textId="77777777" w:rsidR="00405184" w:rsidRDefault="00405184" w:rsidP="001A5060">
      <w:pPr>
        <w:spacing w:after="0"/>
      </w:pPr>
      <w:r>
        <w:continuationSeparator/>
      </w:r>
    </w:p>
  </w:endnote>
  <w:endnote w:type="continuationNotice" w:id="1">
    <w:p w14:paraId="0D4D1A57" w14:textId="77777777" w:rsidR="00405184" w:rsidRDefault="004051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Cyr"/>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1CBC5" w14:textId="77777777" w:rsidR="00405184" w:rsidRDefault="00405184" w:rsidP="00AD5F3A">
      <w:pPr>
        <w:pBdr>
          <w:between w:val="single" w:sz="4" w:space="1" w:color="48ADFF" w:themeColor="accent1" w:themeTint="99"/>
        </w:pBdr>
        <w:spacing w:after="0"/>
      </w:pPr>
    </w:p>
    <w:p w14:paraId="0812EBAF" w14:textId="77777777" w:rsidR="00405184" w:rsidRDefault="00405184" w:rsidP="00AD5F3A">
      <w:pPr>
        <w:pBdr>
          <w:between w:val="single" w:sz="4" w:space="1" w:color="48ADFF" w:themeColor="accent1" w:themeTint="99"/>
        </w:pBdr>
        <w:spacing w:after="0"/>
      </w:pPr>
    </w:p>
  </w:footnote>
  <w:footnote w:type="continuationSeparator" w:id="0">
    <w:p w14:paraId="61AC2C8D" w14:textId="77777777" w:rsidR="00405184" w:rsidRDefault="00405184" w:rsidP="001A5060">
      <w:pPr>
        <w:spacing w:after="0"/>
      </w:pPr>
      <w:r>
        <w:continuationSeparator/>
      </w:r>
    </w:p>
  </w:footnote>
  <w:footnote w:type="continuationNotice" w:id="1">
    <w:p w14:paraId="22D26CCC" w14:textId="77777777" w:rsidR="00405184" w:rsidRDefault="004051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560BB"/>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21D78"/>
    <w:rsid w:val="00122F47"/>
    <w:rsid w:val="00123692"/>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4672"/>
    <w:rsid w:val="001564E0"/>
    <w:rsid w:val="0016027A"/>
    <w:rsid w:val="00161841"/>
    <w:rsid w:val="0016460A"/>
    <w:rsid w:val="00164B32"/>
    <w:rsid w:val="001658B4"/>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74F"/>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05184"/>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D6D"/>
    <w:rsid w:val="004B5754"/>
    <w:rsid w:val="004B6C95"/>
    <w:rsid w:val="004C212D"/>
    <w:rsid w:val="004C3138"/>
    <w:rsid w:val="004C7DCC"/>
    <w:rsid w:val="004D0565"/>
    <w:rsid w:val="004D1D88"/>
    <w:rsid w:val="004D29CC"/>
    <w:rsid w:val="004D4D73"/>
    <w:rsid w:val="004D5298"/>
    <w:rsid w:val="004E401D"/>
    <w:rsid w:val="004F1850"/>
    <w:rsid w:val="004F2932"/>
    <w:rsid w:val="004F2B43"/>
    <w:rsid w:val="004F4B5D"/>
    <w:rsid w:val="00501AC9"/>
    <w:rsid w:val="00501D17"/>
    <w:rsid w:val="00502F03"/>
    <w:rsid w:val="00503ABE"/>
    <w:rsid w:val="00505CAB"/>
    <w:rsid w:val="00506242"/>
    <w:rsid w:val="00506F33"/>
    <w:rsid w:val="005126D7"/>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87AC5"/>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124EF"/>
    <w:rsid w:val="006146BE"/>
    <w:rsid w:val="006151C2"/>
    <w:rsid w:val="006152A3"/>
    <w:rsid w:val="00615D29"/>
    <w:rsid w:val="00616EA6"/>
    <w:rsid w:val="006208A8"/>
    <w:rsid w:val="00624BEA"/>
    <w:rsid w:val="00624C5F"/>
    <w:rsid w:val="00630608"/>
    <w:rsid w:val="00630A29"/>
    <w:rsid w:val="00634D00"/>
    <w:rsid w:val="00635B2B"/>
    <w:rsid w:val="00640211"/>
    <w:rsid w:val="006419D0"/>
    <w:rsid w:val="00644C46"/>
    <w:rsid w:val="00644CDC"/>
    <w:rsid w:val="00650267"/>
    <w:rsid w:val="006522AA"/>
    <w:rsid w:val="006524B3"/>
    <w:rsid w:val="00657815"/>
    <w:rsid w:val="00661C06"/>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1A6"/>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74F3"/>
    <w:rsid w:val="007675F8"/>
    <w:rsid w:val="0077403F"/>
    <w:rsid w:val="00777A8D"/>
    <w:rsid w:val="0078164A"/>
    <w:rsid w:val="007821C3"/>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0D"/>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68BA"/>
    <w:rsid w:val="00827ADE"/>
    <w:rsid w:val="00830F37"/>
    <w:rsid w:val="0083115B"/>
    <w:rsid w:val="00833771"/>
    <w:rsid w:val="00834E51"/>
    <w:rsid w:val="00842957"/>
    <w:rsid w:val="00843505"/>
    <w:rsid w:val="0084465B"/>
    <w:rsid w:val="008472D1"/>
    <w:rsid w:val="008473E7"/>
    <w:rsid w:val="00850920"/>
    <w:rsid w:val="00853612"/>
    <w:rsid w:val="00856EA0"/>
    <w:rsid w:val="008614B5"/>
    <w:rsid w:val="00862CDE"/>
    <w:rsid w:val="008646D4"/>
    <w:rsid w:val="00865C4C"/>
    <w:rsid w:val="00870008"/>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6D52"/>
    <w:rsid w:val="009C748A"/>
    <w:rsid w:val="009D4A68"/>
    <w:rsid w:val="009D50BA"/>
    <w:rsid w:val="009D593B"/>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C7"/>
    <w:rsid w:val="00AB290B"/>
    <w:rsid w:val="00AB30AA"/>
    <w:rsid w:val="00AB4122"/>
    <w:rsid w:val="00AB5569"/>
    <w:rsid w:val="00AB777C"/>
    <w:rsid w:val="00AB7EED"/>
    <w:rsid w:val="00AC0997"/>
    <w:rsid w:val="00AC0F7E"/>
    <w:rsid w:val="00AC13E6"/>
    <w:rsid w:val="00AC6C42"/>
    <w:rsid w:val="00AC7B2E"/>
    <w:rsid w:val="00AD1F00"/>
    <w:rsid w:val="00AD230F"/>
    <w:rsid w:val="00AD5F3A"/>
    <w:rsid w:val="00AE109D"/>
    <w:rsid w:val="00AE1C8F"/>
    <w:rsid w:val="00AE36DA"/>
    <w:rsid w:val="00AE4A13"/>
    <w:rsid w:val="00AE4BCE"/>
    <w:rsid w:val="00AE6A8B"/>
    <w:rsid w:val="00AE6E32"/>
    <w:rsid w:val="00AF0425"/>
    <w:rsid w:val="00AF1904"/>
    <w:rsid w:val="00AF2C54"/>
    <w:rsid w:val="00AF6E2B"/>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51956"/>
    <w:rsid w:val="00B531EF"/>
    <w:rsid w:val="00B5336B"/>
    <w:rsid w:val="00B547A6"/>
    <w:rsid w:val="00B6140F"/>
    <w:rsid w:val="00B635E8"/>
    <w:rsid w:val="00B65273"/>
    <w:rsid w:val="00B70AC9"/>
    <w:rsid w:val="00B71AC4"/>
    <w:rsid w:val="00B72B94"/>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C78C2"/>
    <w:rsid w:val="00CD0B83"/>
    <w:rsid w:val="00CD666E"/>
    <w:rsid w:val="00CD69F6"/>
    <w:rsid w:val="00CE053E"/>
    <w:rsid w:val="00CE4F32"/>
    <w:rsid w:val="00CF047F"/>
    <w:rsid w:val="00CF521D"/>
    <w:rsid w:val="00CF54BA"/>
    <w:rsid w:val="00D013F8"/>
    <w:rsid w:val="00D0168D"/>
    <w:rsid w:val="00D01A5A"/>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192"/>
    <w:rsid w:val="00E83C7C"/>
    <w:rsid w:val="00E8466C"/>
    <w:rsid w:val="00E8509A"/>
    <w:rsid w:val="00E90A84"/>
    <w:rsid w:val="00E90C80"/>
    <w:rsid w:val="00E91B61"/>
    <w:rsid w:val="00E934A4"/>
    <w:rsid w:val="00E94B01"/>
    <w:rsid w:val="00E967AC"/>
    <w:rsid w:val="00E970C0"/>
    <w:rsid w:val="00EB347B"/>
    <w:rsid w:val="00EB3DF5"/>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443C"/>
    <w:rsid w:val="00F14C6C"/>
    <w:rsid w:val="00F17158"/>
    <w:rsid w:val="00F209A0"/>
    <w:rsid w:val="00F20AC8"/>
    <w:rsid w:val="00F2687D"/>
    <w:rsid w:val="00F26E42"/>
    <w:rsid w:val="00F2700E"/>
    <w:rsid w:val="00F307A8"/>
    <w:rsid w:val="00F30DD3"/>
    <w:rsid w:val="00F31144"/>
    <w:rsid w:val="00F335BA"/>
    <w:rsid w:val="00F33954"/>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2C8"/>
    <w:rsid w:val="00F97E2F"/>
    <w:rsid w:val="00FA0661"/>
    <w:rsid w:val="00FA3118"/>
    <w:rsid w:val="00FA39C6"/>
    <w:rsid w:val="00FA43E5"/>
    <w:rsid w:val="00FA45F1"/>
    <w:rsid w:val="00FA4FA5"/>
    <w:rsid w:val="00FB43F7"/>
    <w:rsid w:val="00FB548F"/>
    <w:rsid w:val="00FB7E52"/>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86</TotalTime>
  <Pages>7</Pages>
  <Words>1812</Words>
  <Characters>10334</Characters>
  <Application>Microsoft Office Word</Application>
  <DocSecurity>0</DocSecurity>
  <Lines>86</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42</cp:revision>
  <cp:lastPrinted>2015-05-18T13:41:00Z</cp:lastPrinted>
  <dcterms:created xsi:type="dcterms:W3CDTF">2024-10-08T10:28:00Z</dcterms:created>
  <dcterms:modified xsi:type="dcterms:W3CDTF">2025-01-21T10:26:00Z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