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D8" w:rsidRPr="00B91127" w:rsidRDefault="0032187D" w:rsidP="003218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Оголошення</w:t>
      </w:r>
      <w:r w:rsidRPr="00B911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 </w:t>
      </w:r>
      <w:r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 проведення відкритого тендеру</w:t>
      </w:r>
      <w:r w:rsidRPr="00B911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 </w:t>
      </w:r>
      <w:r w:rsidR="00DD2153" w:rsidRPr="00B911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і</w:t>
      </w:r>
      <w:r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з закупівлі</w:t>
      </w:r>
      <w:r w:rsidR="007B1FD8"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:</w:t>
      </w:r>
    </w:p>
    <w:p w:rsidR="0032187D" w:rsidRPr="00B91127" w:rsidRDefault="00254225" w:rsidP="003218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«Інтерактивної підлоги</w:t>
      </w:r>
      <w:r w:rsidR="00D54CE5"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D54CE5" w:rsidRPr="00B91127">
        <w:rPr>
          <w:rFonts w:ascii="Times New Roman" w:hAnsi="Times New Roman" w:cs="Times New Roman"/>
          <w:b/>
          <w:bCs/>
          <w:color w:val="01011B"/>
          <w:sz w:val="24"/>
          <w:szCs w:val="24"/>
          <w:bdr w:val="none" w:sz="0" w:space="0" w:color="auto" w:frame="1"/>
        </w:rPr>
        <w:t>Briolight</w:t>
      </w:r>
      <w:proofErr w:type="spellEnd"/>
      <w:r w:rsidR="007B1FD8" w:rsidRP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»</w:t>
      </w:r>
    </w:p>
    <w:p w:rsidR="0032187D" w:rsidRPr="00342686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</w:p>
    <w:p w:rsidR="0032187D" w:rsidRPr="00342686" w:rsidRDefault="0032187D" w:rsidP="0032187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Громадська організація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«</w:t>
      </w: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Лабораторія Ініціативної Молоді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» в межах грантового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проєкту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B198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«Створення та розвиток центрів життєстійкості громади у м. Ніжин Чернігівської області»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реалізується за підтримки ПРООН, оголошує відкритий тендер на закупівлю </w:t>
      </w:r>
      <w:r w:rsidR="00D250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інтерактивної підлоги</w:t>
      </w:r>
      <w:r w:rsidR="00D54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D54CE5" w:rsidRPr="00B91127">
        <w:rPr>
          <w:rFonts w:ascii="Times New Roman" w:hAnsi="Times New Roman" w:cs="Times New Roman"/>
          <w:b/>
          <w:bCs/>
          <w:color w:val="01011B"/>
          <w:sz w:val="24"/>
          <w:szCs w:val="24"/>
          <w:bdr w:val="none" w:sz="0" w:space="0" w:color="auto" w:frame="1"/>
        </w:rPr>
        <w:t>Briolight</w:t>
      </w:r>
      <w:proofErr w:type="spellEnd"/>
      <w:r w:rsidR="00DD2153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32187D" w:rsidRPr="00342686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DD2153" w:rsidRPr="00B91127" w:rsidRDefault="00DD2153" w:rsidP="00DD21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Дата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оголошення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 тендер</w:t>
      </w:r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="00AE4B01" w:rsidRPr="00AE4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24</w:t>
      </w:r>
      <w:r w:rsidRPr="00AE4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254225" w:rsidRPr="00AE4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червня</w:t>
      </w:r>
      <w:r w:rsidRPr="00AE4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202</w:t>
      </w:r>
      <w:r w:rsidRPr="00AE4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4</w:t>
      </w:r>
      <w:r w:rsidRPr="00AE4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року</w:t>
      </w:r>
      <w:r w:rsidR="00B911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.</w:t>
      </w:r>
    </w:p>
    <w:p w:rsidR="00DD2153" w:rsidRPr="00DD2153" w:rsidRDefault="00DD2153" w:rsidP="00DD21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Термін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подання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тендерних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пропозицій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25 </w:t>
      </w: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календарних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днів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 дня </w:t>
      </w: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опублікування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цього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Оголошення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до </w:t>
      </w:r>
      <w:r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254225"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AE4B01"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9</w:t>
      </w:r>
      <w:r w:rsidR="00213263"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="00254225"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липня</w:t>
      </w:r>
      <w:r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</w:t>
      </w:r>
      <w:r w:rsidRP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року</w:t>
      </w:r>
    </w:p>
    <w:p w:rsidR="00DD2153" w:rsidRPr="00342686" w:rsidRDefault="00DD2153" w:rsidP="00DD21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Предметом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закупі</w:t>
      </w:r>
      <w:proofErr w:type="gram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вл</w:t>
      </w:r>
      <w:proofErr w:type="gram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і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є </w:t>
      </w:r>
      <w:r w:rsidR="002542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інтерактивна</w:t>
      </w: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2542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підлога</w:t>
      </w: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згідно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переліку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DD2153" w:rsidRPr="00342686" w:rsidRDefault="00D54CE5" w:rsidP="00F455FE">
      <w:pPr>
        <w:pStyle w:val="a6"/>
        <w:numPr>
          <w:ilvl w:val="0"/>
          <w:numId w:val="10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Інтерактивна підлога </w:t>
      </w:r>
      <w:proofErr w:type="spellStart"/>
      <w:r w:rsidRPr="00B91127">
        <w:rPr>
          <w:rFonts w:ascii="Times New Roman" w:hAnsi="Times New Roman" w:cs="Times New Roman"/>
          <w:b/>
          <w:bCs/>
          <w:color w:val="01011B"/>
          <w:sz w:val="24"/>
          <w:szCs w:val="24"/>
          <w:bdr w:val="none" w:sz="0" w:space="0" w:color="auto" w:frame="1"/>
        </w:rPr>
        <w:t>Briolight</w:t>
      </w:r>
      <w:proofErr w:type="spellEnd"/>
      <w:r w:rsidR="00C62B51">
        <w:rPr>
          <w:rFonts w:ascii="Times New Roman" w:hAnsi="Times New Roman" w:cs="Times New Roman"/>
          <w:b/>
          <w:bCs/>
          <w:color w:val="01011B"/>
          <w:sz w:val="24"/>
          <w:szCs w:val="24"/>
          <w:bdr w:val="none" w:sz="0" w:space="0" w:color="auto" w:frame="1"/>
          <w:lang w:val="uk-UA"/>
        </w:rPr>
        <w:t xml:space="preserve"> </w:t>
      </w:r>
      <w:r w:rsidR="00C62B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або аналог;</w:t>
      </w:r>
    </w:p>
    <w:p w:rsidR="00DD2153" w:rsidRPr="00342686" w:rsidRDefault="00DD2153" w:rsidP="00F455F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Детальний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опис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товарів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/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послуг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що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оголошуються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зазначено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Додатку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1 до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Оголошення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DD2153" w:rsidRPr="00342686" w:rsidRDefault="00DD2153" w:rsidP="00DD21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Строк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надання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товарів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/ </w:t>
      </w:r>
      <w:proofErr w:type="spellStart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послуг</w:t>
      </w:r>
      <w:proofErr w:type="spellEnd"/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з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дати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укладення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Договору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протягом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робочих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дні</w:t>
      </w:r>
      <w:proofErr w:type="gram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spellEnd"/>
      <w:proofErr w:type="gram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D2153" w:rsidRPr="00342686" w:rsidRDefault="00DD2153" w:rsidP="00DD21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вартість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послуг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повинна </w:t>
      </w:r>
      <w:proofErr w:type="gram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бути</w:t>
      </w:r>
      <w:proofErr w:type="gram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включена</w:t>
      </w:r>
      <w:r w:rsidR="00F8437A" w:rsidRPr="00F8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8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установка та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доставка товару до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місця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призначення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16600, Чернігівська область, м. Ніжин,  вул. Графська, 2.</w:t>
      </w:r>
    </w:p>
    <w:p w:rsidR="00F455FE" w:rsidRDefault="0032187D" w:rsidP="00F455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Вимоги до постачальника товарів/послуг – учасника тендеру</w:t>
      </w:r>
      <w:r w:rsidR="00EA203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:</w:t>
      </w:r>
    </w:p>
    <w:p w:rsidR="00F455FE" w:rsidRDefault="00F455FE" w:rsidP="00F455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</w:pPr>
    </w:p>
    <w:p w:rsidR="00655E81" w:rsidRDefault="0032187D" w:rsidP="00F455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 участі у тендері запрошуються суб‘єкти підприємницької діяльності, належним чином зареєстровані за законодавством України, мають  досвід роботи у відповідній сфері, відповідні </w:t>
      </w:r>
      <w:r w:rsidR="00DD2153" w:rsidRPr="00342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КВЕД для здійснення торгівлі/надання послуг, заявлений товар у наявності на складі у вказаній кількості, можливість здійснити доставку у вказаний строк за зазначеною адресою та можливість надати оригінали супроводжуючих документів з печаткою та підписом (договір поставки, рахунок-фактура, видаткова накладна/ акт виконаних робіт, тощо).</w:t>
      </w:r>
    </w:p>
    <w:p w:rsidR="00F455FE" w:rsidRPr="00342686" w:rsidRDefault="00F455FE" w:rsidP="00F455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32187D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Учасник тендеру надає організатору наступні документи:</w:t>
      </w:r>
    </w:p>
    <w:p w:rsidR="00F455FE" w:rsidRPr="00342686" w:rsidRDefault="00F455FE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32187D" w:rsidRPr="00342686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Копія документу, що підтверджує державну реєстрацію;</w:t>
      </w:r>
    </w:p>
    <w:p w:rsidR="0032187D" w:rsidRPr="00342686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Копія документу, що підтверджує податковий статус;</w:t>
      </w:r>
    </w:p>
    <w:p w:rsidR="00DD2153" w:rsidRPr="00342686" w:rsidRDefault="0032187D" w:rsidP="00DD2153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Тендерна пропозиція (проформа), </w:t>
      </w:r>
      <w:r w:rsidR="003963A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заповнена за зразком (</w:t>
      </w:r>
      <w:proofErr w:type="spellStart"/>
      <w:r w:rsidR="003963A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</w:t>
      </w:r>
      <w:proofErr w:type="spellEnd"/>
      <w:r w:rsidR="003963A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даток №</w:t>
      </w:r>
      <w:r w:rsidR="00760258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);</w:t>
      </w:r>
    </w:p>
    <w:p w:rsidR="00342686" w:rsidRPr="00342686" w:rsidRDefault="00DD2153" w:rsidP="00342686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Оригінал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Рахунка-фактури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D2153" w:rsidRPr="00DD2153" w:rsidRDefault="00DD2153" w:rsidP="00342686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Зразок</w:t>
      </w:r>
      <w:proofErr w:type="spellEnd"/>
      <w:r w:rsidRPr="00DD21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договору поставки товару;</w:t>
      </w:r>
    </w:p>
    <w:p w:rsidR="0032187D" w:rsidRPr="00342686" w:rsidRDefault="0032187D" w:rsidP="00342686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Документи, що підтверджують досвід (щонайменше 2 рекомендаційні лис</w:t>
      </w:r>
      <w:r w:rsidR="00342686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 та/або договори на аналогічний товар, тощо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);</w:t>
      </w:r>
    </w:p>
    <w:p w:rsidR="0032187D" w:rsidRPr="00342686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Документи, що підтверджують фінансовий стан (довідка з банку та ін.);</w:t>
      </w:r>
    </w:p>
    <w:p w:rsidR="0032187D" w:rsidRPr="00342686" w:rsidRDefault="0032187D" w:rsidP="0032187D">
      <w:pPr>
        <w:numPr>
          <w:ilvl w:val="0"/>
          <w:numId w:val="1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Інші документи за необхідності.</w:t>
      </w:r>
    </w:p>
    <w:p w:rsidR="00342686" w:rsidRPr="00342686" w:rsidRDefault="00342686" w:rsidP="00342686">
      <w:pPr>
        <w:shd w:val="clear" w:color="auto" w:fill="FFFFFF"/>
        <w:spacing w:after="30" w:line="240" w:lineRule="auto"/>
        <w:ind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655E81" w:rsidRPr="00342686" w:rsidRDefault="00655E81" w:rsidP="00655E81">
      <w:pPr>
        <w:pStyle w:val="a3"/>
        <w:shd w:val="clear" w:color="auto" w:fill="FFFFFF"/>
        <w:spacing w:before="0" w:beforeAutospacing="0" w:after="0" w:afterAutospacing="0"/>
        <w:ind w:firstLine="120"/>
        <w:jc w:val="both"/>
        <w:textAlignment w:val="baseline"/>
        <w:rPr>
          <w:b/>
          <w:bCs/>
          <w:color w:val="000000" w:themeColor="text1"/>
          <w:bdr w:val="none" w:sz="0" w:space="0" w:color="auto" w:frame="1"/>
          <w:lang w:val="uk-UA"/>
        </w:rPr>
      </w:pPr>
      <w:r w:rsidRPr="00342686">
        <w:rPr>
          <w:b/>
          <w:bCs/>
          <w:color w:val="000000" w:themeColor="text1"/>
          <w:bdr w:val="none" w:sz="0" w:space="0" w:color="auto" w:frame="1"/>
          <w:lang w:val="uk-UA"/>
        </w:rPr>
        <w:t>Умови роботи та оплати</w:t>
      </w:r>
    </w:p>
    <w:p w:rsidR="00655E81" w:rsidRPr="00342686" w:rsidRDefault="00655E81" w:rsidP="00655E8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lang w:val="uk-UA"/>
        </w:rPr>
      </w:pPr>
    </w:p>
    <w:p w:rsidR="00655E81" w:rsidRPr="00342686" w:rsidRDefault="00655E81" w:rsidP="00655E81">
      <w:pPr>
        <w:numPr>
          <w:ilvl w:val="0"/>
          <w:numId w:val="3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Підписується офіційний договір</w:t>
      </w:r>
    </w:p>
    <w:p w:rsidR="00655E81" w:rsidRPr="00342686" w:rsidRDefault="00655E81" w:rsidP="00655E81">
      <w:pPr>
        <w:numPr>
          <w:ilvl w:val="0"/>
          <w:numId w:val="3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lastRenderedPageBreak/>
        <w:t xml:space="preserve">Оплата здійснюється після </w:t>
      </w:r>
      <w:r w:rsidR="00EA203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доставки </w:t>
      </w:r>
      <w:r w:rsidR="00DD2153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товару</w:t>
      </w:r>
      <w:r w:rsidR="00EA203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у повному обсязі</w:t>
      </w:r>
      <w:r w:rsidR="007B198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EA203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</w:p>
    <w:p w:rsidR="0032187D" w:rsidRPr="00342686" w:rsidRDefault="0032187D" w:rsidP="00213263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Істотні критерії (умови) відбору тендерних пропозицій:</w:t>
      </w:r>
    </w:p>
    <w:p w:rsidR="0032187D" w:rsidRPr="00342686" w:rsidRDefault="0032187D" w:rsidP="0032187D">
      <w:pPr>
        <w:numPr>
          <w:ilvl w:val="0"/>
          <w:numId w:val="2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Відповідність учасника кваліфікаційним вимогам тендерного оголошення;</w:t>
      </w:r>
    </w:p>
    <w:p w:rsidR="0032187D" w:rsidRPr="00342686" w:rsidRDefault="0032187D" w:rsidP="0032187D">
      <w:pPr>
        <w:numPr>
          <w:ilvl w:val="0"/>
          <w:numId w:val="2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Відповідність поданих документів умовам тендерного оголошення;</w:t>
      </w:r>
    </w:p>
    <w:p w:rsidR="0032187D" w:rsidRPr="00342686" w:rsidRDefault="0032187D" w:rsidP="0032187D">
      <w:pPr>
        <w:numPr>
          <w:ilvl w:val="0"/>
          <w:numId w:val="2"/>
        </w:num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Прийнятна ціна, умови оплати та умови надання </w:t>
      </w:r>
      <w:r w:rsidR="00342686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товарів/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послуг.</w:t>
      </w:r>
    </w:p>
    <w:p w:rsidR="00342686" w:rsidRPr="00342686" w:rsidRDefault="00342686" w:rsidP="00342686">
      <w:pPr>
        <w:shd w:val="clear" w:color="auto" w:fill="FFFFFF"/>
        <w:spacing w:after="30" w:line="240" w:lineRule="auto"/>
        <w:ind w:left="480" w:right="24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32187D" w:rsidRPr="00342686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Тендерні процедури</w:t>
      </w:r>
    </w:p>
    <w:p w:rsidR="0032187D" w:rsidRPr="00342686" w:rsidRDefault="0032187D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Запитання щодо тендеру можна надсилати в електронному вигляді за </w:t>
      </w:r>
      <w:proofErr w:type="spellStart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ел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="00A7555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дресою</w:t>
      </w:r>
      <w:r w:rsidR="00A7555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:</w:t>
      </w:r>
      <w:r w:rsidR="00A7555E" w:rsidRPr="00342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7555E" w:rsidRPr="00342686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-UA"/>
        </w:rPr>
        <w:t>ngo18iyl@gmail.com</w:t>
      </w:r>
      <w:r w:rsidR="00257BB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> </w:t>
      </w:r>
      <w:r w:rsidR="00257BB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 18:00, </w:t>
      </w:r>
      <w:r w:rsidR="0025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13</w:t>
      </w:r>
      <w:r w:rsidR="002132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25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липня</w:t>
      </w:r>
      <w:r w:rsidR="00257BB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2024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р.</w:t>
      </w:r>
    </w:p>
    <w:p w:rsidR="0032187D" w:rsidRPr="00342686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 участі у відборі тендерних пропозицій допускаються тендерні пропозиції, які повністю відповідають умовам цього тендерного оголошення.</w:t>
      </w:r>
    </w:p>
    <w:p w:rsidR="0032187D" w:rsidRPr="00342686" w:rsidRDefault="0032187D" w:rsidP="00257BBE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Тендерні пропозиції, мають бути чинними та не підлягатимуть внесенню змін з боку учасників тендеру, що їх подали</w:t>
      </w:r>
      <w:r w:rsidR="00A7555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до повного завершення, в даному випадку – 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передачі товару.</w:t>
      </w:r>
    </w:p>
    <w:p w:rsidR="00342686" w:rsidRPr="00342686" w:rsidRDefault="0032187D" w:rsidP="0034268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Тендерні документи повинні бути складені українською мовою, підписані уповноваженою особою учасника та засвідчені печаткою (за наявност</w:t>
      </w:r>
      <w:r w:rsidR="00A7555E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і) та у електронному вигляді (у 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форматі</w:t>
      </w:r>
      <w:r w:rsidR="007B198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Е</w:t>
      </w:r>
      <w:proofErr w:type="spellStart"/>
      <w:r w:rsidR="006840E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xcel</w:t>
      </w:r>
      <w:proofErr w:type="spellEnd"/>
      <w:r w:rsidR="006840E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7B198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та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proofErr w:type="spellEnd"/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PDF</w:t>
      </w: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 </w:t>
      </w:r>
      <w:r w:rsidR="00223325"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надіслані учасником на електронну адресу </w:t>
      </w:r>
      <w:proofErr w:type="spellStart"/>
      <w:r w:rsidR="00223325"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ПРООН </w:t>
      </w:r>
      <w:hyperlink r:id="rId6" w:tgtFrame="_blank" w:history="1">
        <w:r w:rsidR="00223325" w:rsidRPr="00342686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  <w:bdr w:val="none" w:sz="0" w:space="0" w:color="auto" w:frame="1"/>
            <w:lang w:val="uk-UA" w:eastAsia="ru-RU"/>
          </w:rPr>
          <w:t>gra</w:t>
        </w:r>
        <w:proofErr w:type="spellEnd"/>
        <w:r w:rsidR="00223325" w:rsidRPr="00342686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single"/>
            <w:bdr w:val="none" w:sz="0" w:space="0" w:color="auto" w:frame="1"/>
            <w:lang w:val="uk-UA" w:eastAsia="ru-RU"/>
          </w:rPr>
          <w:t>nts.ua@undp.org</w:t>
        </w:r>
      </w:hyperlink>
      <w:r w:rsidR="00223325"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 з темою листа: 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«Відкритий </w:t>
      </w:r>
      <w:proofErr w:type="spellStart"/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тенд</w:t>
      </w:r>
      <w:proofErr w:type="spellEnd"/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ер_</w:t>
      </w:r>
      <w:r w:rsidR="00342686"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2024/01/001CS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_назва учасника»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до</w:t>
      </w:r>
      <w:r w:rsidR="00342686" w:rsidRPr="00342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AE4B01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19</w:t>
      </w:r>
      <w:r w:rsidR="00254225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.07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.2024 року</w:t>
      </w:r>
      <w:r w:rsidR="00342686" w:rsidRPr="00342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="00342686" w:rsidRPr="00342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а також у письмовій формі із зазначенням “Відкритий </w:t>
      </w:r>
      <w:r w:rsidR="00254225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тендер: </w:t>
      </w:r>
      <w:r w:rsidR="00B91127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із закупівлі</w:t>
      </w:r>
      <w:r w:rsidR="00254225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інтерактивної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254225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підлоги</w:t>
      </w:r>
      <w:r w:rsidR="00342686" w:rsidRPr="0034268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” за адресою: </w:t>
      </w:r>
      <w:r w:rsidR="00342686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16600, Чернігівська область, м. Ніжин,</w:t>
      </w:r>
      <w:r w:rsidR="002132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вул. Графська, 2 у строк до </w:t>
      </w:r>
      <w:r w:rsidR="0025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</w:t>
      </w:r>
      <w:r w:rsid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9</w:t>
      </w:r>
      <w:r w:rsidR="0025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.07</w:t>
      </w:r>
      <w:r w:rsidR="00342686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.2024 року. Всі тендерні пропозиції, отримані організатором після кінцевого терміну їх подан</w:t>
      </w:r>
      <w:r w:rsidR="00AE4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ня, а саме після 23:59 години 19</w:t>
      </w:r>
      <w:r w:rsidR="0025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.07</w:t>
      </w:r>
      <w:r w:rsidR="00342686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.2024 року, розгляду не підлягатимуть.</w:t>
      </w:r>
    </w:p>
    <w:p w:rsidR="00342686" w:rsidRPr="00342686" w:rsidRDefault="00342686" w:rsidP="00257BB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32187D" w:rsidRPr="00342686" w:rsidRDefault="0032187D" w:rsidP="00257BB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Визначення переможця тендеру, відбудеться організатором тендеру після фінансової та технічної оцінки запропонованих тендерних пропозицій згідно істотних критеріїв (умов) відбору, які зазначені у даному тендерному оголошенні, </w:t>
      </w: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але не пізніше</w:t>
      </w:r>
      <w:r w:rsidR="00B84283"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E4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19</w:t>
      </w:r>
      <w:bookmarkStart w:id="0" w:name="_GoBack"/>
      <w:bookmarkEnd w:id="0"/>
      <w:r w:rsidR="002542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липня</w:t>
      </w:r>
      <w:r w:rsidR="00A7555E"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3426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2024 року.</w:t>
      </w:r>
    </w:p>
    <w:p w:rsidR="0032187D" w:rsidRPr="00342686" w:rsidRDefault="0032187D" w:rsidP="00B84283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Результати тендеру будуть повідомлені організатором учасникам тендеру шляхом надсилання відповідних повідомлень електронною поштою протягом не більше ніж трьох робочих днів з дати прийняття рішення про визначення переможців.</w:t>
      </w:r>
    </w:p>
    <w:p w:rsidR="00B84283" w:rsidRPr="00342686" w:rsidRDefault="00B84283" w:rsidP="003218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</w:pPr>
    </w:p>
    <w:p w:rsidR="00B84283" w:rsidRPr="00342686" w:rsidRDefault="0032187D" w:rsidP="00B8428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Додаткові застереження</w:t>
      </w:r>
      <w:r w:rsidR="00EA203C"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val="uk-UA" w:eastAsia="ru-RU"/>
        </w:rPr>
        <w:t>:</w:t>
      </w:r>
    </w:p>
    <w:p w:rsidR="0032187D" w:rsidRPr="00342686" w:rsidRDefault="0032187D" w:rsidP="00B8428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Учасник цієї загальної процедури (відкритого тендеру) приймає до уваги та погоджується з тим, що організатор тендеру залишає за собою право вимагати від учасника тендеру додаткові документи та/або інформацію, що підтверджують відповідність окремих положень документів вимогам та умовам цього тендерного оголошення.</w:t>
      </w:r>
    </w:p>
    <w:p w:rsidR="0032187D" w:rsidRPr="00342686" w:rsidRDefault="0032187D" w:rsidP="00B84283">
      <w:pPr>
        <w:shd w:val="clear" w:color="auto" w:fill="FFFFFF"/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Учасник цієї загальної процедури (відкритого тендеру) надсилаючи документи для участі у загальній процедурі (відкритому тендері) за цим тендерним оголошенням підтверджує своє розуміння та згоду з тим, що організатор тендеру може відхилити його тендерну пропозицію у випадку, якщо пропозиції інших учасників міститимуть більш вигідні умови, та що організатор тендеру не обмежений у прийнятті будь-якої іншої пропозиції з більш вигідними для нього умовами.</w:t>
      </w:r>
    </w:p>
    <w:p w:rsidR="0032187D" w:rsidRPr="00EA203C" w:rsidRDefault="0032187D" w:rsidP="0032187D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42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Контактна особа: </w:t>
      </w:r>
    </w:p>
    <w:p w:rsidR="00213263" w:rsidRDefault="003223DD" w:rsidP="00213263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Ганна </w:t>
      </w:r>
      <w:proofErr w:type="spellStart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Б’янка</w:t>
      </w:r>
      <w:proofErr w:type="spellEnd"/>
      <w:r w:rsidRPr="00EA20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067-502-82-80</w:t>
      </w:r>
    </w:p>
    <w:p w:rsidR="007B1FD8" w:rsidRPr="007B1FD8" w:rsidRDefault="007B1FD8" w:rsidP="00213263">
      <w:pPr>
        <w:shd w:val="clear" w:color="auto" w:fill="FFFFFF"/>
        <w:spacing w:before="240" w:after="0" w:line="240" w:lineRule="auto"/>
        <w:ind w:left="5388"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 1</w:t>
      </w:r>
    </w:p>
    <w:p w:rsidR="007B1FD8" w:rsidRPr="007B1FD8" w:rsidRDefault="007B1FD8" w:rsidP="007B1FD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sz w:val="24"/>
          <w:szCs w:val="24"/>
          <w:lang w:val="uk-UA"/>
        </w:rPr>
        <w:t xml:space="preserve">до тендерного оголошення ГО </w:t>
      </w:r>
    </w:p>
    <w:p w:rsidR="007B1FD8" w:rsidRPr="007B1FD8" w:rsidRDefault="007B1FD8" w:rsidP="007B1FD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Лабораторія ініціативної молоді</w:t>
      </w:r>
      <w:r w:rsidRPr="007B1FD8">
        <w:rPr>
          <w:rFonts w:ascii="Times New Roman" w:hAnsi="Times New Roman" w:cs="Times New Roman"/>
          <w:sz w:val="24"/>
          <w:szCs w:val="24"/>
          <w:lang w:val="uk-UA"/>
        </w:rPr>
        <w:t xml:space="preserve">» від </w:t>
      </w:r>
      <w:r w:rsidR="00AE4B01" w:rsidRPr="00AE4B01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B91127" w:rsidRPr="00AE4B01">
        <w:rPr>
          <w:rFonts w:ascii="Times New Roman" w:hAnsi="Times New Roman" w:cs="Times New Roman"/>
          <w:sz w:val="24"/>
          <w:szCs w:val="24"/>
          <w:lang w:val="uk-UA"/>
        </w:rPr>
        <w:t>.06</w:t>
      </w:r>
      <w:r w:rsidRPr="00AE4B01">
        <w:rPr>
          <w:rFonts w:ascii="Times New Roman" w:hAnsi="Times New Roman" w:cs="Times New Roman"/>
          <w:sz w:val="24"/>
          <w:szCs w:val="24"/>
          <w:lang w:val="uk-UA"/>
        </w:rPr>
        <w:t>.2024 р.</w:t>
      </w:r>
    </w:p>
    <w:p w:rsidR="007B1FD8" w:rsidRPr="007B1FD8" w:rsidRDefault="007B1FD8" w:rsidP="007B1FD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7B1FD8" w:rsidRPr="007B1FD8" w:rsidRDefault="007B1FD8" w:rsidP="007B1FD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B1FD8" w:rsidRPr="007B1FD8" w:rsidRDefault="007B1FD8" w:rsidP="007B1F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b/>
          <w:sz w:val="24"/>
          <w:szCs w:val="24"/>
          <w:lang w:val="uk-UA"/>
        </w:rPr>
        <w:t>Інформація про необхідні якісні та кількісні характеристики</w:t>
      </w:r>
    </w:p>
    <w:p w:rsidR="007B1FD8" w:rsidRPr="007B1FD8" w:rsidRDefault="007B1FD8" w:rsidP="007B1F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b/>
          <w:sz w:val="24"/>
          <w:szCs w:val="24"/>
          <w:lang w:val="uk-UA"/>
        </w:rPr>
        <w:t>предмета закупівлі</w:t>
      </w:r>
    </w:p>
    <w:p w:rsidR="007B1FD8" w:rsidRPr="007B1FD8" w:rsidRDefault="007B1FD8" w:rsidP="007B1FD8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B1FD8" w:rsidRDefault="007B1FD8" w:rsidP="007B1FD8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B1FD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</w:t>
      </w:r>
      <w:r w:rsidR="00D54CE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Інтерактивна підлога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:</w:t>
      </w:r>
    </w:p>
    <w:p w:rsidR="007B1FD8" w:rsidRPr="007B1FD8" w:rsidRDefault="007B1FD8" w:rsidP="007B1FD8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7B1FD8" w:rsidRPr="007B1FD8" w:rsidRDefault="00D54CE5" w:rsidP="007B1FD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</w:t>
      </w:r>
      <w:r w:rsidRPr="00D54CE5"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lang w:val="uk-UA"/>
        </w:rPr>
        <w:t xml:space="preserve">Інтерактивна підлога </w:t>
      </w:r>
      <w:proofErr w:type="spellStart"/>
      <w:r w:rsidRPr="00D54CE5"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</w:rPr>
        <w:t>Briolight</w:t>
      </w:r>
      <w:proofErr w:type="spellEnd"/>
      <w:r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lang w:val="uk-UA"/>
        </w:rPr>
        <w:t xml:space="preserve"> </w:t>
      </w:r>
      <w:r w:rsidRPr="00D54CE5"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lang w:val="uk-UA"/>
        </w:rPr>
        <w:t xml:space="preserve"> (150 програм)</w:t>
      </w:r>
      <w:r w:rsidR="00C62B51">
        <w:rPr>
          <w:rFonts w:ascii="Segoe UI" w:hAnsi="Segoe UI" w:cs="Segoe UI"/>
          <w:b/>
          <w:bCs/>
          <w:color w:val="01011B"/>
          <w:sz w:val="21"/>
          <w:szCs w:val="21"/>
          <w:bdr w:val="none" w:sz="0" w:space="0" w:color="auto" w:frame="1"/>
          <w:lang w:val="uk-UA"/>
        </w:rPr>
        <w:t xml:space="preserve"> або аналог</w:t>
      </w:r>
    </w:p>
    <w:p w:rsidR="007B1FD8" w:rsidRPr="007B1FD8" w:rsidRDefault="007B1FD8" w:rsidP="007B1FD8">
      <w:pPr>
        <w:numPr>
          <w:ilvl w:val="0"/>
          <w:numId w:val="11"/>
        </w:num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Вимоги</w:t>
      </w:r>
    </w:p>
    <w:p w:rsidR="007B1FD8" w:rsidRPr="007B1FD8" w:rsidRDefault="007B1FD8" w:rsidP="007B1FD8">
      <w:pPr>
        <w:numPr>
          <w:ilvl w:val="0"/>
          <w:numId w:val="11"/>
        </w:num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bCs/>
          <w:sz w:val="24"/>
          <w:szCs w:val="24"/>
          <w:lang w:val="uk-UA"/>
        </w:rPr>
        <w:t>(технічні, якісні та кількісні характеристики (технічна специфікація))</w:t>
      </w:r>
    </w:p>
    <w:p w:rsidR="00D54CE5" w:rsidRDefault="00D54CE5" w:rsidP="00D54CE5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val="uk-UA" w:eastAsia="ru-RU"/>
        </w:rPr>
      </w:pPr>
    </w:p>
    <w:p w:rsidR="00D54CE5" w:rsidRPr="00D54CE5" w:rsidRDefault="00D54CE5" w:rsidP="00D54C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proofErr w:type="gramStart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>Техн</w:t>
      </w:r>
      <w:proofErr w:type="gramEnd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>ічні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 xml:space="preserve"> характеристики:</w:t>
      </w:r>
    </w:p>
    <w:p w:rsidR="00D54CE5" w:rsidRPr="00D54CE5" w:rsidRDefault="00D54CE5" w:rsidP="00D54C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1B"/>
          <w:lang w:eastAsia="ru-RU"/>
        </w:rPr>
      </w:pPr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Проектор</w:t>
      </w:r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Розташування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проектора –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горизонтальне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що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гарантує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тривалий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термін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роботи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лампи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проектора.</w:t>
      </w:r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Яскравість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3800 ANSI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lumen</w:t>
      </w:r>
      <w:proofErr w:type="spellEnd"/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Контрастність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 16 000:1</w:t>
      </w:r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Роздільна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здатність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1280 x 800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px</w:t>
      </w:r>
      <w:proofErr w:type="spellEnd"/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Технологія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 LCD: 3 х P-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Si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TFT</w:t>
      </w:r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Відтворення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кольорів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1.07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мільярді</w:t>
      </w:r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</w:t>
      </w:r>
      <w:proofErr w:type="spellEnd"/>
      <w:proofErr w:type="gramEnd"/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Спі</w:t>
      </w:r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вв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ідношення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сторін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зображення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що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проектується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 16:10</w:t>
      </w:r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Тривалість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роботи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лампи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 до 17 000 годин (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еко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-режим)</w:t>
      </w:r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Мова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меню проектора: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українська</w:t>
      </w:r>
      <w:proofErr w:type="spellEnd"/>
    </w:p>
    <w:p w:rsidR="00D54CE5" w:rsidRPr="00D54CE5" w:rsidRDefault="00D54CE5" w:rsidP="00D54CE5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Функція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миттєвого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вимикання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проектора</w:t>
      </w:r>
    </w:p>
    <w:p w:rsidR="00D54CE5" w:rsidRPr="00D54CE5" w:rsidRDefault="00D54CE5" w:rsidP="00D54C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1B"/>
          <w:lang w:eastAsia="ru-RU"/>
        </w:rPr>
      </w:pPr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Модуль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управління</w:t>
      </w:r>
      <w:proofErr w:type="spellEnd"/>
    </w:p>
    <w:p w:rsidR="00D54CE5" w:rsidRPr="00D54CE5" w:rsidRDefault="00D54CE5" w:rsidP="00D54CE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Частота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процесора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від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2.8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GHz</w:t>
      </w:r>
      <w:proofErr w:type="spellEnd"/>
    </w:p>
    <w:p w:rsidR="00D54CE5" w:rsidRPr="00D54CE5" w:rsidRDefault="00D54CE5" w:rsidP="00D54CE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Оперативна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пам’ять</w:t>
      </w:r>
      <w:proofErr w:type="spellEnd"/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 4 GB DDR4</w:t>
      </w:r>
    </w:p>
    <w:p w:rsidR="00D54CE5" w:rsidRPr="00D54CE5" w:rsidRDefault="00D54CE5" w:rsidP="00D54CE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Вбудована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пам’ять</w:t>
      </w:r>
      <w:proofErr w:type="spellEnd"/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 120 GB SSD</w:t>
      </w:r>
    </w:p>
    <w:p w:rsidR="00D54CE5" w:rsidRPr="00D54CE5" w:rsidRDefault="00D54CE5" w:rsidP="00D54CE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Блок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живлення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не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менше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400 Вт</w:t>
      </w:r>
    </w:p>
    <w:p w:rsidR="00D54CE5" w:rsidRPr="00D54CE5" w:rsidRDefault="00D54CE5" w:rsidP="00D54CE5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Комунікації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LAN RJ45; HDMI та VGA;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Audio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3.5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Jack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; USB;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Wifi</w:t>
      </w:r>
      <w:proofErr w:type="spellEnd"/>
    </w:p>
    <w:p w:rsidR="00D54CE5" w:rsidRPr="00D54CE5" w:rsidRDefault="00D54CE5" w:rsidP="00D54C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Оптична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система</w:t>
      </w:r>
    </w:p>
    <w:p w:rsidR="00D54CE5" w:rsidRPr="00D54CE5" w:rsidRDefault="00D54CE5" w:rsidP="00D54CE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Програмно-апаратна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функція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регулювання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висоти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зони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ні</w:t>
      </w:r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г</w:t>
      </w:r>
      <w:proofErr w:type="spellEnd"/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рук у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налаштуваннях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Технологія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що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не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вимагає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переналаштувань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протягом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року у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зв’язку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із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змінами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освітлення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Фірмова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система з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двома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сенсорами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сканування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зображення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.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Кожен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сенсор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має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параметри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не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гірші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ніж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 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кількість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активних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ікселів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- 1920х1080, частота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кадрів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-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FullHD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@ 60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fps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(60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кадрів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/сек),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електрична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потужність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в активному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режимі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не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більше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90 мВт,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підтримка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вихідних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форматів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зображення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10-bit RAW RGB</w:t>
      </w:r>
    </w:p>
    <w:p w:rsidR="00D54CE5" w:rsidRPr="00D54CE5" w:rsidRDefault="00D54CE5" w:rsidP="00D54C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Українське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інтерактивне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програмне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забезпечення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не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менше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150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інтерактивних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ігор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тому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числі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на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Активізацію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» 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Корекцію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», «На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розвиток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психічних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процесів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уваги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концентрації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пам’яті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» – 34 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інтерактивні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ігри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; на «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ізнання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» – 116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інтерактивних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ігор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(«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Основи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програмування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», «Математика»,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Українська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мова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»,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Англійська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мова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,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Безпека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життєдіяльності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,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Додаткова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Англійська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», «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Логопедія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» 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.)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Безлімітна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ліцензія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: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 з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необмеженим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строком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використання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програмного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забезпечення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 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Мова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інтерфейсу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та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ефектів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: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українська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. </w:t>
      </w:r>
      <w:r w:rsidRPr="00D54CE5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br/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Голосовий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супровід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українською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мовою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. 3D-об’єкти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</w:r>
      <w:proofErr w:type="spellStart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>Унікальні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>можливості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>програмного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>забезпечення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color w:val="01011B"/>
          <w:bdr w:val="none" w:sz="0" w:space="0" w:color="auto" w:frame="1"/>
          <w:lang w:eastAsia="ru-RU"/>
        </w:rPr>
        <w:t xml:space="preserve"> БРІОЛАЙТ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: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Генератор занять: 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програмний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модуль,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що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забезпечує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автоматичне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формування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занять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від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введення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корекційних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потреб до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створення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папок з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інтерактивними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вправами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для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кожної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дитини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відповідно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до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науково-методичних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досл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іджень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за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напрямками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корекції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Програмно-апаратна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функція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«Руки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окремо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від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ні</w:t>
      </w:r>
      <w:proofErr w:type="gram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г</w:t>
      </w:r>
      <w:proofErr w:type="spellEnd"/>
      <w:proofErr w:type="gram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»: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 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одночасне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незалежне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керування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руками для одних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елементів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вправ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а ногами – для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інших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 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lastRenderedPageBreak/>
        <w:t xml:space="preserve">Доступ </w:t>
      </w:r>
      <w:proofErr w:type="gram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до</w:t>
      </w:r>
      <w:proofErr w:type="gram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корпоративної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методичної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бази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знань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через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інтернет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 з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вправами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рекомендаціями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описом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корекційних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ефектів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можливістю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замовляти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нові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ефекти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 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Фільтр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для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вибору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інтерактивних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ефектів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за </w:t>
      </w:r>
      <w:proofErr w:type="spellStart"/>
      <w:proofErr w:type="gram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р</w:t>
      </w:r>
      <w:proofErr w:type="gram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ізними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критеріями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: 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призначенням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навчальними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предметами,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кількістю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дітей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proofErr w:type="gram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Р</w:t>
      </w:r>
      <w:proofErr w:type="gram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івні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складності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з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незалежними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налаштуваннями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 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можливістю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перемикання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складності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як при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роботі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ефекту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так і в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його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налаштуваннях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. Для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швидкої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зручної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адаптації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ефектів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ід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дитину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Ручне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(з пульту) та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автоматичне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(за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сценарієм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)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перемикання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ефектів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.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 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Повний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спрощений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режим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інтерфейсу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. Модуль статистики.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Оптимізований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алгоритм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оптичного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розпізнавання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для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більш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швидкої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точної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роботи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Інтеграція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в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єдиний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корекційний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комплекс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що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складається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з контролеру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великої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др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ібної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моторики,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інтерактивної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пісочниці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інтерактивної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панелі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за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умови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збереження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єдиного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інтерфейсу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Можливість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оновлення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програмного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забезпечення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через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Інтернет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.</w:t>
      </w:r>
    </w:p>
    <w:p w:rsidR="00D54CE5" w:rsidRPr="00D54CE5" w:rsidRDefault="00D54CE5" w:rsidP="00D54CE5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Можливість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придбання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додаткового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пакета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інтерактивних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ігор</w:t>
      </w:r>
      <w:proofErr w:type="spellEnd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 xml:space="preserve"> "МАЛЮКАМ" – 64 </w:t>
      </w:r>
      <w:proofErr w:type="spellStart"/>
      <w:r w:rsidRPr="00B91127">
        <w:rPr>
          <w:rFonts w:ascii="Times New Roman" w:eastAsia="Times New Roman" w:hAnsi="Times New Roman" w:cs="Times New Roman"/>
          <w:b/>
          <w:bCs/>
          <w:i/>
          <w:iCs/>
          <w:color w:val="01011B"/>
          <w:bdr w:val="none" w:sz="0" w:space="0" w:color="auto" w:frame="1"/>
          <w:lang w:eastAsia="ru-RU"/>
        </w:rPr>
        <w:t>гри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</w:p>
    <w:p w:rsidR="00D54CE5" w:rsidRPr="00D54CE5" w:rsidRDefault="00D54CE5" w:rsidP="00D54C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1B"/>
          <w:lang w:eastAsia="ru-RU"/>
        </w:rPr>
      </w:pP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Всі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елементи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системи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розташовані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в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єдиному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корпусі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білого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кольору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для монтажу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п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ід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стелею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.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Висота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корпусу в межах, </w:t>
      </w:r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мм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200. На корпус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кр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іпляться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номерні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гарантійні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наліпки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  <w:t xml:space="preserve">Система </w:t>
      </w:r>
      <w:proofErr w:type="spellStart"/>
      <w:proofErr w:type="gram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кр</w:t>
      </w:r>
      <w:proofErr w:type="gram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іплення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: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складається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з комплекту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дюбелів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.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  <w:t xml:space="preserve">Пульт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дистанційного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керування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 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  <w:t xml:space="preserve">Ключ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захисту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 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Інструкція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користувача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методичні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</w:t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рекомендації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</w:r>
      <w:proofErr w:type="spellStart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>Гарантійний</w:t>
      </w:r>
      <w:proofErr w:type="spellEnd"/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t xml:space="preserve"> талон</w:t>
      </w:r>
      <w:r w:rsidRPr="00B91127">
        <w:rPr>
          <w:rFonts w:ascii="Times New Roman" w:eastAsia="Times New Roman" w:hAnsi="Times New Roman" w:cs="Times New Roman"/>
          <w:color w:val="01011B"/>
          <w:lang w:val="uk-UA" w:eastAsia="ru-RU"/>
        </w:rPr>
        <w:t>.</w:t>
      </w:r>
      <w:r w:rsidRPr="00D54CE5">
        <w:rPr>
          <w:rFonts w:ascii="Times New Roman" w:eastAsia="Times New Roman" w:hAnsi="Times New Roman" w:cs="Times New Roman"/>
          <w:color w:val="01011B"/>
          <w:lang w:eastAsia="ru-RU"/>
        </w:rPr>
        <w:br/>
      </w:r>
    </w:p>
    <w:p w:rsidR="00E87F47" w:rsidRPr="00E87F47" w:rsidRDefault="00E87F47" w:rsidP="00E87F47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  <w:u w:val="single"/>
        </w:rPr>
        <w:t>Строк поставки Товару:</w:t>
      </w:r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r w:rsidRPr="00E87F47">
        <w:rPr>
          <w:rFonts w:ascii="Times New Roman" w:hAnsi="Times New Roman" w:cs="Times New Roman"/>
          <w:b/>
          <w:sz w:val="24"/>
          <w:szCs w:val="24"/>
        </w:rPr>
        <w:t xml:space="preserve">з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дати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укладення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</w:rPr>
        <w:t xml:space="preserve"> Договору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протягом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</w:rPr>
        <w:t xml:space="preserve"> 10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робочих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дні</w:t>
      </w:r>
      <w:proofErr w:type="gramStart"/>
      <w:r w:rsidRPr="00E87F47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F47" w:rsidRPr="00E87F47" w:rsidRDefault="00D54CE5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У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ціну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включено доставку, монтаж та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введення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в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експлуатацію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обладнання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,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навчання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персоналу, а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також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техн</w:t>
      </w:r>
      <w:proofErr w:type="gram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ічну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підтримку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онлайн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протягом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гарантійного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терміну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 xml:space="preserve"> - 12 </w:t>
      </w:r>
      <w:proofErr w:type="spellStart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місяців</w:t>
      </w:r>
      <w:proofErr w:type="spellEnd"/>
      <w:r w:rsidRPr="00D54CE5"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eastAsia="ru-RU"/>
        </w:rPr>
        <w:t>.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F47">
        <w:rPr>
          <w:rFonts w:ascii="Times New Roman" w:hAnsi="Times New Roman" w:cs="Times New Roman"/>
          <w:b/>
          <w:sz w:val="24"/>
          <w:szCs w:val="24"/>
          <w:u w:val="single"/>
        </w:rPr>
        <w:t>Примітка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87F47">
        <w:rPr>
          <w:rFonts w:ascii="Times New Roman" w:hAnsi="Times New Roman" w:cs="Times New Roman"/>
          <w:sz w:val="24"/>
          <w:szCs w:val="24"/>
        </w:rPr>
        <w:t xml:space="preserve"> характеристики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кращими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пок</w:t>
      </w:r>
      <w:r w:rsidR="00D54CE5">
        <w:rPr>
          <w:rFonts w:ascii="Times New Roman" w:hAnsi="Times New Roman" w:cs="Times New Roman"/>
          <w:sz w:val="24"/>
          <w:szCs w:val="24"/>
        </w:rPr>
        <w:t>азники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Учасника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призводить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відхилення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посилання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ічному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завданні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конкретну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торговельну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марку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фірму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патент,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конструкцію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тип предмета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виробника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читати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як «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еквівалент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».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Учасником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запропоновано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еквівалент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характеристиками,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аніж</w:t>
      </w:r>
      <w:proofErr w:type="spellEnd"/>
      <w:proofErr w:type="gram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даному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87F47">
        <w:rPr>
          <w:rFonts w:ascii="Times New Roman" w:hAnsi="Times New Roman" w:cs="Times New Roman"/>
          <w:sz w:val="24"/>
          <w:szCs w:val="24"/>
          <w:u w:val="single"/>
        </w:rPr>
        <w:t>учасник</w:t>
      </w:r>
      <w:proofErr w:type="spellEnd"/>
      <w:r w:rsidRPr="00E87F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  <w:u w:val="single"/>
        </w:rPr>
        <w:t>подає</w:t>
      </w:r>
      <w:proofErr w:type="spellEnd"/>
      <w:r w:rsidRPr="00E87F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  <w:u w:val="single"/>
        </w:rPr>
        <w:t>додатково</w:t>
      </w:r>
      <w:proofErr w:type="spellEnd"/>
      <w:r w:rsidRPr="00E87F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  <w:u w:val="single"/>
        </w:rPr>
        <w:t>порівняльну</w:t>
      </w:r>
      <w:proofErr w:type="spellEnd"/>
      <w:r w:rsidRPr="00E87F47">
        <w:rPr>
          <w:rFonts w:ascii="Times New Roman" w:hAnsi="Times New Roman" w:cs="Times New Roman"/>
          <w:sz w:val="24"/>
          <w:szCs w:val="24"/>
          <w:u w:val="single"/>
        </w:rPr>
        <w:t xml:space="preserve"> характеристику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  <w:u w:val="single"/>
        </w:rPr>
        <w:t>обґрунтування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87F47">
        <w:rPr>
          <w:rFonts w:ascii="Times New Roman" w:hAnsi="Times New Roman" w:cs="Times New Roman"/>
          <w:sz w:val="24"/>
          <w:szCs w:val="24"/>
        </w:rPr>
        <w:t xml:space="preserve">того,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запропоноване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кращим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>.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Еквівалентом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торгівельної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марки,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фірми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конструкції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типу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джерела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виробника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івнозначними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рівноцінними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технічними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якісними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характеристиками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показниками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зазначеними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технічному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завданні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еквіваленту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учасник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порівняльну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таблицю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конкретної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кількісних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характеристик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запропонованого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еквіваленту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відповідності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технічних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встановлених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2 до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тендерної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>.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F47">
        <w:rPr>
          <w:rFonts w:ascii="Times New Roman" w:hAnsi="Times New Roman" w:cs="Times New Roman"/>
          <w:sz w:val="24"/>
          <w:szCs w:val="24"/>
        </w:rPr>
        <w:lastRenderedPageBreak/>
        <w:t>Обґрунтування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посилання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тексті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тендерної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торговельну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марку,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фірму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патент,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конструкцію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тип предмету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E87F4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виробника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посилання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поставки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своїми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характеристиками не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повинні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гіршими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вищезазначених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посиланнях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>.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Загальні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вимоги</w:t>
      </w:r>
      <w:proofErr w:type="spellEnd"/>
      <w:r w:rsidRPr="00E87F47">
        <w:rPr>
          <w:rFonts w:ascii="Times New Roman" w:hAnsi="Times New Roman" w:cs="Times New Roman"/>
          <w:b/>
          <w:sz w:val="24"/>
          <w:szCs w:val="24"/>
        </w:rPr>
        <w:t xml:space="preserve"> до предмету </w:t>
      </w:r>
      <w:proofErr w:type="spellStart"/>
      <w:r w:rsidRPr="00E87F47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E87F47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E87F47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товару повинна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діючих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нормативних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документі</w:t>
      </w:r>
      <w:proofErr w:type="gramStart"/>
      <w:r w:rsidRPr="00E87F47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E87F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параметрам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зазначеним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Якісно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поставленим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товаром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товар,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зазвичай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ставляться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до товару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характеру.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3. Товар,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постачається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87F47">
        <w:rPr>
          <w:rFonts w:ascii="Times New Roman" w:hAnsi="Times New Roman" w:cs="Times New Roman"/>
          <w:sz w:val="24"/>
          <w:szCs w:val="24"/>
        </w:rPr>
        <w:t>повинен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 xml:space="preserve"> бути таким,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перебував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порушені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Гарантійний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строк на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повинен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становити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гарантійного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строку,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визначеного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виробником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але не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замовником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(з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видаткової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накладної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5. В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комплекті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обладнанням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предмету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E87F4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замовнику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передаються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інструкції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гарантійні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обов’язково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Транспортні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пакування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та монтаж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інсталяція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програмних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додаткових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інструментів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приладдя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здійснюватися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постачальника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87F47">
        <w:rPr>
          <w:rFonts w:ascii="Times New Roman" w:hAnsi="Times New Roman" w:cs="Times New Roman"/>
          <w:sz w:val="24"/>
          <w:szCs w:val="24"/>
        </w:rPr>
        <w:t>Будь-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як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відхилення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допускаються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етапі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уточнень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інструменти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електронного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торгівельного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майданчика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7. Для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ідтвердження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предмету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учасник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тендерної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87F47" w:rsidRPr="00E87F47" w:rsidRDefault="00E87F47" w:rsidP="00E87F47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7F47">
        <w:rPr>
          <w:rFonts w:ascii="Times New Roman" w:hAnsi="Times New Roman" w:cs="Times New Roman"/>
          <w:sz w:val="24"/>
          <w:szCs w:val="24"/>
        </w:rPr>
        <w:t xml:space="preserve">- документ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сервісних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87F47">
        <w:rPr>
          <w:rFonts w:ascii="Times New Roman" w:hAnsi="Times New Roman" w:cs="Times New Roman"/>
          <w:sz w:val="24"/>
          <w:szCs w:val="24"/>
        </w:rPr>
        <w:t>гарантійного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E87F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87F47">
        <w:rPr>
          <w:rFonts w:ascii="Times New Roman" w:hAnsi="Times New Roman" w:cs="Times New Roman"/>
          <w:sz w:val="24"/>
          <w:szCs w:val="24"/>
        </w:rPr>
        <w:t>іслягарантійного</w:t>
      </w:r>
      <w:proofErr w:type="spellEnd"/>
      <w:r w:rsidRPr="00E87F47">
        <w:rPr>
          <w:rFonts w:ascii="Times New Roman" w:hAnsi="Times New Roman" w:cs="Times New Roman"/>
          <w:sz w:val="24"/>
          <w:szCs w:val="24"/>
        </w:rPr>
        <w:t xml:space="preserve"> ремонту.</w:t>
      </w:r>
    </w:p>
    <w:p w:rsidR="007B1FD8" w:rsidRDefault="007B1FD8" w:rsidP="00F455FE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87F47" w:rsidRDefault="00E87F47" w:rsidP="00F455FE">
      <w:pPr>
        <w:shd w:val="clear" w:color="auto" w:fill="FFFFFF"/>
        <w:spacing w:before="2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54CE5" w:rsidRDefault="00D54CE5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</w:p>
    <w:p w:rsidR="00D54CE5" w:rsidRDefault="00D54CE5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</w:p>
    <w:p w:rsidR="00B91127" w:rsidRDefault="00B91127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</w:p>
    <w:p w:rsidR="00B91127" w:rsidRDefault="00B91127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</w:p>
    <w:p w:rsidR="00B91127" w:rsidRDefault="00B91127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</w:p>
    <w:p w:rsidR="00B91127" w:rsidRDefault="00B91127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</w:p>
    <w:p w:rsidR="00E87F47" w:rsidRDefault="00E87F47" w:rsidP="00E87F47">
      <w:pPr>
        <w:pStyle w:val="a3"/>
        <w:shd w:val="clear" w:color="auto" w:fill="FFFFFF"/>
        <w:spacing w:before="150" w:beforeAutospacing="0" w:after="0" w:afterAutospacing="0"/>
        <w:ind w:left="5664" w:firstLine="708"/>
        <w:rPr>
          <w:rStyle w:val="a4"/>
          <w:b w:val="0"/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lastRenderedPageBreak/>
        <w:t>Додаток № 2</w:t>
      </w:r>
    </w:p>
    <w:p w:rsidR="00E87F47" w:rsidRPr="007B1FD8" w:rsidRDefault="00E87F47" w:rsidP="00E87F47">
      <w:pPr>
        <w:pStyle w:val="a3"/>
        <w:shd w:val="clear" w:color="auto" w:fill="FFFFFF"/>
        <w:spacing w:before="150" w:beforeAutospacing="0" w:after="0" w:afterAutospacing="0"/>
        <w:ind w:left="4956" w:firstLine="708"/>
        <w:rPr>
          <w:lang w:val="uk-UA"/>
        </w:rPr>
      </w:pPr>
      <w:r>
        <w:rPr>
          <w:lang w:val="uk-UA"/>
        </w:rPr>
        <w:t>д</w:t>
      </w:r>
      <w:r w:rsidRPr="007B1FD8">
        <w:rPr>
          <w:lang w:val="uk-UA"/>
        </w:rPr>
        <w:t xml:space="preserve">о тендерного оголошення ГО </w:t>
      </w:r>
    </w:p>
    <w:p w:rsidR="00E87F47" w:rsidRPr="007B1FD8" w:rsidRDefault="00E87F47" w:rsidP="00E87F4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7B1FD8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Лабораторія ініціативної молоді</w:t>
      </w:r>
      <w:r w:rsidRPr="007B1FD8">
        <w:rPr>
          <w:rFonts w:ascii="Times New Roman" w:hAnsi="Times New Roman" w:cs="Times New Roman"/>
          <w:sz w:val="24"/>
          <w:szCs w:val="24"/>
          <w:lang w:val="uk-UA"/>
        </w:rPr>
        <w:t xml:space="preserve">» від </w:t>
      </w:r>
      <w:r w:rsidR="00B91127">
        <w:rPr>
          <w:rFonts w:ascii="Times New Roman" w:hAnsi="Times New Roman" w:cs="Times New Roman"/>
          <w:sz w:val="24"/>
          <w:szCs w:val="24"/>
          <w:lang w:val="uk-UA"/>
        </w:rPr>
        <w:t>18.06</w:t>
      </w:r>
      <w:r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7B1FD8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right"/>
        <w:rPr>
          <w:rStyle w:val="a4"/>
          <w:b w:val="0"/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t xml:space="preserve"> 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center"/>
        <w:rPr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t>ТЕНДЕРНА ПРОПОЗИЦІЯ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t> 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t>м. Ніжин                                                                              «____» ________2024 року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t> 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rStyle w:val="a4"/>
          <w:b w:val="0"/>
          <w:color w:val="333333"/>
          <w:lang w:val="uk-UA"/>
        </w:rPr>
        <w:t>_________________________(повне найменування постачальника)_______________________</w:t>
      </w:r>
      <w:r w:rsidRPr="00E87F47">
        <w:rPr>
          <w:color w:val="333333"/>
          <w:lang w:val="uk-UA"/>
        </w:rPr>
        <w:t>,  (</w:t>
      </w:r>
      <w:r w:rsidRPr="00E87F47">
        <w:rPr>
          <w:b/>
          <w:color w:val="333333"/>
          <w:lang w:val="uk-UA"/>
        </w:rPr>
        <w:t>точна адреса</w:t>
      </w:r>
      <w:r w:rsidRPr="00E87F47">
        <w:rPr>
          <w:color w:val="333333"/>
          <w:lang w:val="uk-UA"/>
        </w:rPr>
        <w:t xml:space="preserve">) надає свою пропозицію  </w:t>
      </w:r>
      <w:r w:rsidRPr="00E87F47">
        <w:rPr>
          <w:color w:val="000000"/>
          <w:lang w:val="uk-UA"/>
        </w:rPr>
        <w:t>Громадська організація «</w:t>
      </w:r>
      <w:r w:rsidRPr="00E87F47">
        <w:rPr>
          <w:b/>
          <w:bCs/>
          <w:color w:val="000000"/>
          <w:bdr w:val="none" w:sz="0" w:space="0" w:color="auto" w:frame="1"/>
          <w:lang w:val="uk-UA"/>
        </w:rPr>
        <w:t>Лабораторія Ініціативної Молоді</w:t>
      </w:r>
      <w:r w:rsidRPr="00E87F47">
        <w:rPr>
          <w:color w:val="000000"/>
          <w:lang w:val="uk-UA"/>
        </w:rPr>
        <w:t xml:space="preserve">» </w:t>
      </w:r>
      <w:r w:rsidRPr="00E87F47">
        <w:rPr>
          <w:color w:val="333333"/>
          <w:lang w:val="uk-UA"/>
        </w:rPr>
        <w:t xml:space="preserve">щодо участі у тендері, що проводиться Організацією </w:t>
      </w:r>
      <w:r w:rsidRPr="0074012A">
        <w:rPr>
          <w:color w:val="000000"/>
          <w:lang w:val="uk-UA"/>
        </w:rPr>
        <w:t xml:space="preserve">на закупівлю </w:t>
      </w:r>
      <w:r w:rsidR="00D54CE5">
        <w:rPr>
          <w:color w:val="000000"/>
          <w:lang w:val="uk-UA"/>
        </w:rPr>
        <w:t>інтерактивної підлоги</w:t>
      </w:r>
      <w:r w:rsidRPr="00E87F47">
        <w:rPr>
          <w:color w:val="333333"/>
          <w:lang w:val="uk-UA"/>
        </w:rPr>
        <w:t xml:space="preserve">, згідно з вимогами, висунутими </w:t>
      </w:r>
      <w:r w:rsidRPr="00E87F47">
        <w:rPr>
          <w:color w:val="000000"/>
          <w:lang w:val="uk-UA"/>
        </w:rPr>
        <w:t>Громадською організацією «</w:t>
      </w:r>
      <w:r w:rsidRPr="00E87F47">
        <w:rPr>
          <w:b/>
          <w:bCs/>
          <w:color w:val="000000"/>
          <w:bdr w:val="none" w:sz="0" w:space="0" w:color="auto" w:frame="1"/>
          <w:lang w:val="uk-UA"/>
        </w:rPr>
        <w:t>Лабораторія Ініціативної Молоді</w:t>
      </w:r>
      <w:r w:rsidRPr="00E87F47">
        <w:rPr>
          <w:color w:val="000000"/>
          <w:lang w:val="uk-UA"/>
        </w:rPr>
        <w:t xml:space="preserve">» </w:t>
      </w:r>
      <w:r w:rsidRPr="00E87F47">
        <w:rPr>
          <w:color w:val="333333"/>
          <w:lang w:val="uk-UA"/>
        </w:rPr>
        <w:t xml:space="preserve"> згідно тендерного оголошення  №_____ про _______________________ від </w:t>
      </w:r>
      <w:proofErr w:type="spellStart"/>
      <w:r w:rsidRPr="00E87F47">
        <w:rPr>
          <w:color w:val="333333"/>
          <w:lang w:val="uk-UA"/>
        </w:rPr>
        <w:t>____________ро</w:t>
      </w:r>
      <w:proofErr w:type="spellEnd"/>
      <w:r w:rsidRPr="00E87F47">
        <w:rPr>
          <w:color w:val="333333"/>
          <w:lang w:val="uk-UA"/>
        </w:rPr>
        <w:t>ку.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color w:val="333333"/>
          <w:lang w:val="uk-UA"/>
        </w:rPr>
        <w:t> </w:t>
      </w:r>
    </w:p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color w:val="333333"/>
          <w:lang w:val="uk-UA"/>
        </w:rPr>
        <w:t xml:space="preserve">Вивчивши тендерні вимоги </w:t>
      </w:r>
      <w:r w:rsidRPr="00E87F47">
        <w:rPr>
          <w:color w:val="000000"/>
          <w:lang w:val="uk-UA"/>
        </w:rPr>
        <w:t>Громадської організації «</w:t>
      </w:r>
      <w:r w:rsidRPr="00E87F47">
        <w:rPr>
          <w:b/>
          <w:bCs/>
          <w:color w:val="000000"/>
          <w:bdr w:val="none" w:sz="0" w:space="0" w:color="auto" w:frame="1"/>
          <w:lang w:val="uk-UA"/>
        </w:rPr>
        <w:t>Лабораторія Ініціативної Молоді</w:t>
      </w:r>
      <w:r w:rsidRPr="00E87F47">
        <w:rPr>
          <w:color w:val="000000"/>
          <w:lang w:val="uk-UA"/>
        </w:rPr>
        <w:t>»</w:t>
      </w:r>
      <w:r w:rsidRPr="00E87F47">
        <w:rPr>
          <w:color w:val="333333"/>
          <w:lang w:val="uk-UA"/>
        </w:rPr>
        <w:t>,  </w:t>
      </w:r>
      <w:r w:rsidRPr="00E87F47">
        <w:rPr>
          <w:rStyle w:val="a4"/>
          <w:b w:val="0"/>
          <w:color w:val="333333"/>
          <w:lang w:val="uk-UA"/>
        </w:rPr>
        <w:t>_________________________(повне найменування постачальника)_______________________ </w:t>
      </w:r>
      <w:r w:rsidRPr="00E87F47">
        <w:rPr>
          <w:color w:val="333333"/>
          <w:lang w:val="uk-UA"/>
        </w:rPr>
        <w:t xml:space="preserve">цим підтверджує, що має організаційну можливість та погоджується надати послуги/виконати роботи/поставити товари </w:t>
      </w:r>
      <w:r w:rsidRPr="00E87F47">
        <w:rPr>
          <w:color w:val="000000"/>
          <w:lang w:val="uk-UA"/>
        </w:rPr>
        <w:t>Громадській організації «</w:t>
      </w:r>
      <w:r w:rsidRPr="00E87F47">
        <w:rPr>
          <w:b/>
          <w:bCs/>
          <w:color w:val="000000"/>
          <w:bdr w:val="none" w:sz="0" w:space="0" w:color="auto" w:frame="1"/>
          <w:lang w:val="uk-UA"/>
        </w:rPr>
        <w:t>Лабораторія Ініціативної Молоді</w:t>
      </w:r>
      <w:r w:rsidRPr="00E87F47">
        <w:rPr>
          <w:color w:val="000000"/>
          <w:lang w:val="uk-UA"/>
        </w:rPr>
        <w:t xml:space="preserve">» </w:t>
      </w:r>
      <w:r w:rsidRPr="00E87F47">
        <w:rPr>
          <w:color w:val="333333"/>
          <w:lang w:val="uk-UA"/>
        </w:rPr>
        <w:t>відповідно до наступних умов: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Найменування послуг/робіт/товарів: </w:t>
      </w:r>
      <w:r w:rsidRPr="00E87F47">
        <w:rPr>
          <w:rStyle w:val="a4"/>
          <w:rFonts w:ascii="Times New Roman" w:hAnsi="Times New Roman" w:cs="Times New Roman"/>
          <w:b w:val="0"/>
          <w:color w:val="333333"/>
          <w:lang w:val="uk-UA"/>
        </w:rPr>
        <w:t>____________________</w:t>
      </w:r>
      <w:r w:rsidRPr="00E87F47">
        <w:rPr>
          <w:rFonts w:ascii="Times New Roman" w:hAnsi="Times New Roman" w:cs="Times New Roman"/>
          <w:color w:val="333333"/>
          <w:lang w:val="uk-UA"/>
        </w:rPr>
        <w:t>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Якість послуг/робіт/товарів відповідатиме: ________________________.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Ціна послуг (грн., з/без ПДВ): </w:t>
      </w:r>
      <w:r w:rsidRPr="00E87F47">
        <w:rPr>
          <w:rStyle w:val="a4"/>
          <w:rFonts w:ascii="Times New Roman" w:hAnsi="Times New Roman" w:cs="Times New Roman"/>
          <w:b w:val="0"/>
          <w:color w:val="333333"/>
          <w:lang w:val="uk-UA"/>
        </w:rPr>
        <w:t>____________________</w:t>
      </w:r>
      <w:r w:rsidRPr="00E87F47">
        <w:rPr>
          <w:rFonts w:ascii="Times New Roman" w:hAnsi="Times New Roman" w:cs="Times New Roman"/>
          <w:color w:val="333333"/>
          <w:lang w:val="uk-UA"/>
        </w:rPr>
        <w:t>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Строк надання послуг/виконання робіт/поставки товару: __________________.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Загальна вартість, з/без ПДВ: </w:t>
      </w:r>
      <w:r w:rsidRPr="00E87F47">
        <w:rPr>
          <w:rStyle w:val="a4"/>
          <w:rFonts w:ascii="Times New Roman" w:hAnsi="Times New Roman" w:cs="Times New Roman"/>
          <w:b w:val="0"/>
          <w:color w:val="333333"/>
          <w:lang w:val="uk-UA"/>
        </w:rPr>
        <w:t>_________________</w:t>
      </w:r>
      <w:r w:rsidRPr="00E87F47">
        <w:rPr>
          <w:rFonts w:ascii="Times New Roman" w:hAnsi="Times New Roman" w:cs="Times New Roman"/>
          <w:color w:val="333333"/>
          <w:lang w:val="uk-UA"/>
        </w:rPr>
        <w:t>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Опис/характеристика послуг/робіт/товарів: _______________________.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Умови оплати: ___________________.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Умови, які необхідно виконати організації для отримання послуг/робіт/товарів: _____________________.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Податковий статус постачальника: _________________________</w:t>
      </w:r>
    </w:p>
    <w:p w:rsidR="00E87F47" w:rsidRPr="00E87F47" w:rsidRDefault="00E87F47" w:rsidP="00E87F4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КВЕД:______________________</w:t>
      </w:r>
    </w:p>
    <w:tbl>
      <w:tblPr>
        <w:tblW w:w="94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8640"/>
      </w:tblGrid>
      <w:tr w:rsidR="00E87F47" w:rsidRPr="00E87F47" w:rsidTr="00CB56CD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F47" w:rsidRPr="00E87F47" w:rsidRDefault="00E87F47" w:rsidP="00CB56CD">
            <w:pPr>
              <w:jc w:val="both"/>
              <w:rPr>
                <w:rFonts w:ascii="Times New Roman" w:hAnsi="Times New Roman" w:cs="Times New Roman"/>
                <w:color w:val="333333"/>
                <w:lang w:val="uk-UA"/>
              </w:rPr>
            </w:pPr>
            <w:r w:rsidRPr="00E87F47">
              <w:rPr>
                <w:rFonts w:ascii="Times New Roman" w:hAnsi="Times New Roman" w:cs="Times New Roman"/>
                <w:color w:val="333333"/>
                <w:lang w:val="uk-UA"/>
              </w:rPr>
              <w:t> </w:t>
            </w:r>
            <w:r w:rsidRPr="00E87F47">
              <w:rPr>
                <w:rStyle w:val="a7"/>
                <w:rFonts w:ascii="Times New Roman" w:hAnsi="Times New Roman" w:cs="Times New Roman"/>
                <w:color w:val="333333"/>
                <w:lang w:val="uk-UA"/>
              </w:rPr>
              <w:t> </w:t>
            </w:r>
          </w:p>
        </w:tc>
        <w:tc>
          <w:tcPr>
            <w:tcW w:w="86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F47" w:rsidRPr="00E87F47" w:rsidRDefault="00E87F47" w:rsidP="00CB56CD">
            <w:pPr>
              <w:jc w:val="both"/>
              <w:rPr>
                <w:rFonts w:ascii="Times New Roman" w:hAnsi="Times New Roman" w:cs="Times New Roman"/>
                <w:color w:val="333333"/>
                <w:lang w:val="uk-UA"/>
              </w:rPr>
            </w:pPr>
            <w:r w:rsidRPr="00E87F47">
              <w:rPr>
                <w:rStyle w:val="a7"/>
                <w:rFonts w:ascii="Times New Roman" w:hAnsi="Times New Roman" w:cs="Times New Roman"/>
                <w:color w:val="333333"/>
                <w:lang w:val="uk-UA"/>
              </w:rPr>
              <w:t> </w:t>
            </w:r>
          </w:p>
        </w:tc>
      </w:tr>
      <w:tr w:rsidR="00E87F47" w:rsidRPr="00E87F47" w:rsidTr="00CB56CD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F47" w:rsidRPr="00E87F47" w:rsidRDefault="00E87F47" w:rsidP="00CB56CD">
            <w:pPr>
              <w:jc w:val="both"/>
              <w:rPr>
                <w:rFonts w:ascii="Times New Roman" w:hAnsi="Times New Roman" w:cs="Times New Roman"/>
                <w:color w:val="333333"/>
                <w:lang w:val="uk-UA"/>
              </w:rPr>
            </w:pPr>
            <w:r w:rsidRPr="00E87F47">
              <w:rPr>
                <w:rStyle w:val="a4"/>
                <w:rFonts w:ascii="Times New Roman" w:hAnsi="Times New Roman" w:cs="Times New Roman"/>
                <w:b w:val="0"/>
                <w:color w:val="333333"/>
                <w:lang w:val="uk-UA"/>
              </w:rPr>
              <w:t> </w:t>
            </w:r>
          </w:p>
        </w:tc>
        <w:tc>
          <w:tcPr>
            <w:tcW w:w="86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F47" w:rsidRPr="00E87F47" w:rsidRDefault="00E87F47" w:rsidP="00CB56CD">
            <w:pPr>
              <w:jc w:val="both"/>
              <w:rPr>
                <w:rFonts w:ascii="Times New Roman" w:hAnsi="Times New Roman" w:cs="Times New Roman"/>
                <w:color w:val="333333"/>
                <w:lang w:val="uk-UA"/>
              </w:rPr>
            </w:pPr>
            <w:r w:rsidRPr="00E87F47">
              <w:rPr>
                <w:rStyle w:val="a4"/>
                <w:rFonts w:ascii="Times New Roman" w:hAnsi="Times New Roman" w:cs="Times New Roman"/>
                <w:b w:val="0"/>
                <w:color w:val="333333"/>
                <w:lang w:val="uk-UA"/>
              </w:rPr>
              <w:t xml:space="preserve">Загальна вартість цієї </w:t>
            </w:r>
            <w:proofErr w:type="spellStart"/>
            <w:r w:rsidRPr="00E87F47">
              <w:rPr>
                <w:rStyle w:val="a4"/>
                <w:rFonts w:ascii="Times New Roman" w:hAnsi="Times New Roman" w:cs="Times New Roman"/>
                <w:b w:val="0"/>
                <w:color w:val="333333"/>
                <w:lang w:val="uk-UA"/>
              </w:rPr>
              <w:t>пропозиції     </w:t>
            </w:r>
            <w:proofErr w:type="spellEnd"/>
            <w:r w:rsidRPr="00E87F47">
              <w:rPr>
                <w:rStyle w:val="a4"/>
                <w:rFonts w:ascii="Times New Roman" w:hAnsi="Times New Roman" w:cs="Times New Roman"/>
                <w:b w:val="0"/>
                <w:color w:val="333333"/>
                <w:lang w:val="uk-UA"/>
              </w:rPr>
              <w:t>  _________,00 грн. (______________ грн. 00 коп.) з/без ПДВ</w:t>
            </w:r>
            <w:r w:rsidRPr="00E87F47">
              <w:rPr>
                <w:rFonts w:ascii="Times New Roman" w:hAnsi="Times New Roman" w:cs="Times New Roman"/>
                <w:color w:val="333333"/>
                <w:lang w:val="uk-UA"/>
              </w:rPr>
              <w:t>.</w:t>
            </w:r>
          </w:p>
        </w:tc>
      </w:tr>
    </w:tbl>
    <w:p w:rsidR="00E87F47" w:rsidRPr="00E87F47" w:rsidRDefault="00E87F47" w:rsidP="00E87F47">
      <w:pPr>
        <w:pStyle w:val="a3"/>
        <w:shd w:val="clear" w:color="auto" w:fill="FFFFFF"/>
        <w:spacing w:before="150" w:beforeAutospacing="0" w:after="150" w:afterAutospacing="0"/>
        <w:jc w:val="both"/>
        <w:rPr>
          <w:color w:val="333333"/>
          <w:lang w:val="uk-UA"/>
        </w:rPr>
      </w:pPr>
      <w:r w:rsidRPr="00E87F47">
        <w:rPr>
          <w:color w:val="333333"/>
          <w:lang w:val="uk-UA"/>
        </w:rPr>
        <w:t> </w:t>
      </w:r>
      <w:r w:rsidRPr="00E87F47">
        <w:rPr>
          <w:rStyle w:val="a7"/>
          <w:color w:val="333333"/>
          <w:lang w:val="uk-UA"/>
        </w:rPr>
        <w:t>До цієї Пропозиції додається (вказати повний перелік документів, що додається):</w:t>
      </w:r>
    </w:p>
    <w:p w:rsidR="00E87F47" w:rsidRPr="00E87F47" w:rsidRDefault="00E87F47" w:rsidP="00E87F4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Style w:val="a7"/>
          <w:rFonts w:ascii="Times New Roman" w:hAnsi="Times New Roman" w:cs="Times New Roman"/>
          <w:color w:val="333333"/>
          <w:lang w:val="uk-UA"/>
        </w:rPr>
        <w:t>Оригінал рахунку-фактури №_________ від _____________ року</w:t>
      </w:r>
    </w:p>
    <w:p w:rsidR="00E87F47" w:rsidRPr="00E87F47" w:rsidRDefault="00E87F47" w:rsidP="00E87F4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Копія документу, що підтверджує державну реєстрацію;</w:t>
      </w:r>
    </w:p>
    <w:p w:rsidR="00E87F47" w:rsidRPr="00E87F47" w:rsidRDefault="00E87F47" w:rsidP="00E87F4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Копія документу, що підтверджує податковий статус</w:t>
      </w:r>
    </w:p>
    <w:p w:rsidR="00E87F47" w:rsidRPr="00E87F47" w:rsidRDefault="00E87F47" w:rsidP="00E87F4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Зразок Договору поставки товару</w:t>
      </w:r>
    </w:p>
    <w:p w:rsidR="00E87F47" w:rsidRPr="00E87F47" w:rsidRDefault="00E87F47" w:rsidP="00E87F4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lang w:val="uk-UA"/>
        </w:rPr>
      </w:pPr>
      <w:r w:rsidRPr="00E87F47">
        <w:rPr>
          <w:rFonts w:ascii="Times New Roman" w:hAnsi="Times New Roman" w:cs="Times New Roman"/>
          <w:color w:val="333333"/>
          <w:lang w:val="uk-UA"/>
        </w:rPr>
        <w:t>.......</w:t>
      </w:r>
    </w:p>
    <w:p w:rsidR="00E87F47" w:rsidRPr="00E87F47" w:rsidRDefault="00E87F47" w:rsidP="0021326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7F47">
        <w:rPr>
          <w:rFonts w:ascii="Times New Roman" w:hAnsi="Times New Roman" w:cs="Times New Roman"/>
          <w:lang w:val="uk-UA"/>
        </w:rPr>
        <w:t xml:space="preserve">ПІБ уповноваженої </w:t>
      </w:r>
      <w:proofErr w:type="spellStart"/>
      <w:r w:rsidRPr="00E87F47">
        <w:rPr>
          <w:rFonts w:ascii="Times New Roman" w:hAnsi="Times New Roman" w:cs="Times New Roman"/>
          <w:lang w:val="uk-UA"/>
        </w:rPr>
        <w:t>особи____________</w:t>
      </w:r>
      <w:proofErr w:type="spellEnd"/>
      <w:r w:rsidRPr="00E87F47">
        <w:rPr>
          <w:rFonts w:ascii="Times New Roman" w:hAnsi="Times New Roman" w:cs="Times New Roman"/>
          <w:lang w:val="uk-UA"/>
        </w:rPr>
        <w:t>______(підпис та печатка)</w:t>
      </w:r>
    </w:p>
    <w:sectPr w:rsidR="00E87F47" w:rsidRPr="00E87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eastAsia="Times New Roman" w:hAnsi="Wingdings" w:cs="Times New Roman"/>
        <w:b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0E13EB"/>
    <w:multiLevelType w:val="multilevel"/>
    <w:tmpl w:val="7FD0AC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D73E5"/>
    <w:multiLevelType w:val="multilevel"/>
    <w:tmpl w:val="D7DCC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A4BA9"/>
    <w:multiLevelType w:val="multilevel"/>
    <w:tmpl w:val="8940F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4A14F2"/>
    <w:multiLevelType w:val="multilevel"/>
    <w:tmpl w:val="9A705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480FAB"/>
    <w:multiLevelType w:val="multilevel"/>
    <w:tmpl w:val="98047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26360"/>
    <w:multiLevelType w:val="multilevel"/>
    <w:tmpl w:val="6EECF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4A260A"/>
    <w:multiLevelType w:val="multilevel"/>
    <w:tmpl w:val="110C5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00425C"/>
    <w:multiLevelType w:val="multilevel"/>
    <w:tmpl w:val="30EE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EF097D"/>
    <w:multiLevelType w:val="multilevel"/>
    <w:tmpl w:val="74CC4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C82977"/>
    <w:multiLevelType w:val="multilevel"/>
    <w:tmpl w:val="EE72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F70B5B"/>
    <w:multiLevelType w:val="hybridMultilevel"/>
    <w:tmpl w:val="9E7EE8EA"/>
    <w:lvl w:ilvl="0" w:tplc="B560D5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4B5A7E"/>
    <w:multiLevelType w:val="multilevel"/>
    <w:tmpl w:val="AA6E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FE69EA"/>
    <w:multiLevelType w:val="multilevel"/>
    <w:tmpl w:val="1F1C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B7B2408"/>
    <w:multiLevelType w:val="multilevel"/>
    <w:tmpl w:val="DE643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4A11F4"/>
    <w:multiLevelType w:val="hybridMultilevel"/>
    <w:tmpl w:val="33A22322"/>
    <w:lvl w:ilvl="0" w:tplc="AA02A69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69B5F45"/>
    <w:multiLevelType w:val="multilevel"/>
    <w:tmpl w:val="2A42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D21D07"/>
    <w:multiLevelType w:val="multilevel"/>
    <w:tmpl w:val="9B1A9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1"/>
  </w:num>
  <w:num w:numId="7">
    <w:abstractNumId w:val="11"/>
  </w:num>
  <w:num w:numId="8">
    <w:abstractNumId w:val="9"/>
  </w:num>
  <w:num w:numId="9">
    <w:abstractNumId w:val="8"/>
  </w:num>
  <w:num w:numId="10">
    <w:abstractNumId w:val="1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17"/>
  </w:num>
  <w:num w:numId="15">
    <w:abstractNumId w:val="3"/>
  </w:num>
  <w:num w:numId="16">
    <w:abstractNumId w:val="14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EF"/>
    <w:rsid w:val="00213263"/>
    <w:rsid w:val="00223325"/>
    <w:rsid w:val="00254225"/>
    <w:rsid w:val="00257BBE"/>
    <w:rsid w:val="0032187D"/>
    <w:rsid w:val="003223DD"/>
    <w:rsid w:val="00342686"/>
    <w:rsid w:val="003963AE"/>
    <w:rsid w:val="004844EF"/>
    <w:rsid w:val="00513726"/>
    <w:rsid w:val="00521D07"/>
    <w:rsid w:val="00577E31"/>
    <w:rsid w:val="00655E81"/>
    <w:rsid w:val="006840EC"/>
    <w:rsid w:val="007171DF"/>
    <w:rsid w:val="00760258"/>
    <w:rsid w:val="007B198C"/>
    <w:rsid w:val="007B1FD8"/>
    <w:rsid w:val="007F7CDF"/>
    <w:rsid w:val="008A47A7"/>
    <w:rsid w:val="009478A4"/>
    <w:rsid w:val="00A7555E"/>
    <w:rsid w:val="00AA6EB8"/>
    <w:rsid w:val="00AE4B01"/>
    <w:rsid w:val="00B84283"/>
    <w:rsid w:val="00B91127"/>
    <w:rsid w:val="00C547A7"/>
    <w:rsid w:val="00C62B51"/>
    <w:rsid w:val="00D250ED"/>
    <w:rsid w:val="00D54CE5"/>
    <w:rsid w:val="00D54D7E"/>
    <w:rsid w:val="00DD2153"/>
    <w:rsid w:val="00E87F47"/>
    <w:rsid w:val="00EA203C"/>
    <w:rsid w:val="00F455FE"/>
    <w:rsid w:val="00F8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87D"/>
    <w:rPr>
      <w:b/>
      <w:bCs/>
    </w:rPr>
  </w:style>
  <w:style w:type="character" w:styleId="a5">
    <w:name w:val="Hyperlink"/>
    <w:basedOn w:val="a0"/>
    <w:uiPriority w:val="99"/>
    <w:semiHidden/>
    <w:unhideWhenUsed/>
    <w:rsid w:val="0032187D"/>
    <w:rPr>
      <w:color w:val="0000FF"/>
      <w:u w:val="single"/>
    </w:rPr>
  </w:style>
  <w:style w:type="character" w:customStyle="1" w:styleId="caps">
    <w:name w:val="caps"/>
    <w:basedOn w:val="a0"/>
    <w:rsid w:val="0032187D"/>
  </w:style>
  <w:style w:type="paragraph" w:customStyle="1" w:styleId="m8686704613151494091msolistparagraph">
    <w:name w:val="m_8686704613151494091msolistparagraph"/>
    <w:basedOn w:val="a"/>
    <w:rsid w:val="007B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D2153"/>
    <w:pPr>
      <w:ind w:left="720"/>
      <w:contextualSpacing/>
    </w:pPr>
  </w:style>
  <w:style w:type="character" w:customStyle="1" w:styleId="ng-star-inserted">
    <w:name w:val="ng-star-inserted"/>
    <w:rsid w:val="007B1FD8"/>
  </w:style>
  <w:style w:type="character" w:styleId="a7">
    <w:name w:val="Emphasis"/>
    <w:uiPriority w:val="20"/>
    <w:qFormat/>
    <w:rsid w:val="00E87F4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187D"/>
    <w:rPr>
      <w:b/>
      <w:bCs/>
    </w:rPr>
  </w:style>
  <w:style w:type="character" w:styleId="a5">
    <w:name w:val="Hyperlink"/>
    <w:basedOn w:val="a0"/>
    <w:uiPriority w:val="99"/>
    <w:semiHidden/>
    <w:unhideWhenUsed/>
    <w:rsid w:val="0032187D"/>
    <w:rPr>
      <w:color w:val="0000FF"/>
      <w:u w:val="single"/>
    </w:rPr>
  </w:style>
  <w:style w:type="character" w:customStyle="1" w:styleId="caps">
    <w:name w:val="caps"/>
    <w:basedOn w:val="a0"/>
    <w:rsid w:val="0032187D"/>
  </w:style>
  <w:style w:type="paragraph" w:customStyle="1" w:styleId="m8686704613151494091msolistparagraph">
    <w:name w:val="m_8686704613151494091msolistparagraph"/>
    <w:basedOn w:val="a"/>
    <w:rsid w:val="007B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D2153"/>
    <w:pPr>
      <w:ind w:left="720"/>
      <w:contextualSpacing/>
    </w:pPr>
  </w:style>
  <w:style w:type="character" w:customStyle="1" w:styleId="ng-star-inserted">
    <w:name w:val="ng-star-inserted"/>
    <w:rsid w:val="007B1FD8"/>
  </w:style>
  <w:style w:type="character" w:styleId="a7">
    <w:name w:val="Emphasis"/>
    <w:uiPriority w:val="20"/>
    <w:qFormat/>
    <w:rsid w:val="00E87F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nts.ua@und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2024-02-06T13:00:00Z</cp:lastPrinted>
  <dcterms:created xsi:type="dcterms:W3CDTF">2024-06-18T11:25:00Z</dcterms:created>
  <dcterms:modified xsi:type="dcterms:W3CDTF">2024-06-24T07:47:00Z</dcterms:modified>
</cp:coreProperties>
</file>