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0A6C" w14:textId="77777777" w:rsidR="005C66B6" w:rsidRPr="00C518F2" w:rsidRDefault="005C66B6" w:rsidP="00AE241E">
      <w:pPr>
        <w:jc w:val="center"/>
        <w:rPr>
          <w:b/>
          <w:bCs/>
          <w:sz w:val="28"/>
          <w:szCs w:val="28"/>
          <w:lang w:val="uk-UA"/>
        </w:rPr>
      </w:pPr>
      <w:r w:rsidRPr="00C518F2">
        <w:rPr>
          <w:b/>
          <w:bCs/>
          <w:sz w:val="28"/>
          <w:szCs w:val="28"/>
          <w:lang w:val="uk-UA"/>
        </w:rPr>
        <w:t xml:space="preserve">Розділ </w:t>
      </w:r>
      <w:r w:rsidR="00FB14F9" w:rsidRPr="00C518F2">
        <w:rPr>
          <w:b/>
          <w:bCs/>
          <w:sz w:val="28"/>
          <w:szCs w:val="28"/>
          <w:lang w:val="uk-UA"/>
        </w:rPr>
        <w:t>1</w:t>
      </w:r>
      <w:r w:rsidRPr="00C518F2">
        <w:rPr>
          <w:b/>
          <w:bCs/>
          <w:sz w:val="28"/>
          <w:szCs w:val="28"/>
          <w:lang w:val="uk-UA"/>
        </w:rPr>
        <w:t>. ТЕХНІЧНА ПРОПОЗИЦІЯ</w:t>
      </w:r>
    </w:p>
    <w:p w14:paraId="4C60B9FC" w14:textId="77777777" w:rsidR="005C66B6" w:rsidRPr="000F6D4C" w:rsidRDefault="005C66B6" w:rsidP="00F745C5">
      <w:pPr>
        <w:shd w:val="clear" w:color="auto" w:fill="C0C0C0"/>
        <w:jc w:val="center"/>
        <w:rPr>
          <w:sz w:val="28"/>
          <w:szCs w:val="28"/>
          <w:lang w:val="uk-UA"/>
        </w:rPr>
      </w:pPr>
      <w:r w:rsidRPr="00C518F2">
        <w:rPr>
          <w:b/>
          <w:bCs/>
          <w:sz w:val="28"/>
          <w:szCs w:val="28"/>
          <w:lang w:val="uk-UA"/>
        </w:rPr>
        <w:t>(ТЕХНІЧНЕ ЗАВДАННЯ ТА ТИПОВІ ФОРМИ)</w:t>
      </w:r>
    </w:p>
    <w:p w14:paraId="35CBCFD7" w14:textId="77777777" w:rsidR="005C66B6" w:rsidRPr="00C518F2" w:rsidRDefault="005C66B6" w:rsidP="00F745C5">
      <w:pPr>
        <w:tabs>
          <w:tab w:val="left" w:pos="0"/>
          <w:tab w:val="left" w:pos="9720"/>
        </w:tabs>
        <w:autoSpaceDE w:val="0"/>
        <w:autoSpaceDN w:val="0"/>
        <w:adjustRightInd w:val="0"/>
        <w:ind w:right="196"/>
        <w:jc w:val="both"/>
        <w:rPr>
          <w:color w:val="000000"/>
          <w:lang w:val="uk-UA"/>
        </w:rPr>
      </w:pPr>
    </w:p>
    <w:p w14:paraId="66F13608" w14:textId="77777777" w:rsidR="00201D08" w:rsidRPr="000F6D4C" w:rsidRDefault="00201D08" w:rsidP="000F6D4C">
      <w:pPr>
        <w:autoSpaceDE w:val="0"/>
        <w:autoSpaceDN w:val="0"/>
        <w:adjustRightInd w:val="0"/>
        <w:ind w:left="4248" w:firstLine="708"/>
        <w:jc w:val="right"/>
        <w:rPr>
          <w:b/>
          <w:bCs/>
          <w:color w:val="000000"/>
          <w:sz w:val="14"/>
          <w:lang w:val="uk-UA"/>
        </w:rPr>
      </w:pPr>
    </w:p>
    <w:p w14:paraId="4EB2C352" w14:textId="77777777" w:rsidR="005C66B6" w:rsidRPr="00C518F2" w:rsidRDefault="005C66B6" w:rsidP="000F6D4C">
      <w:pPr>
        <w:autoSpaceDE w:val="0"/>
        <w:autoSpaceDN w:val="0"/>
        <w:adjustRightInd w:val="0"/>
        <w:ind w:left="4248" w:firstLine="708"/>
        <w:jc w:val="right"/>
        <w:rPr>
          <w:b/>
          <w:bCs/>
          <w:color w:val="000000"/>
          <w:lang w:val="uk-UA"/>
        </w:rPr>
      </w:pPr>
      <w:r w:rsidRPr="00C518F2">
        <w:rPr>
          <w:b/>
          <w:bCs/>
          <w:color w:val="000000"/>
          <w:lang w:val="uk-UA"/>
        </w:rPr>
        <w:t>ДОДАТОК 1</w:t>
      </w:r>
    </w:p>
    <w:p w14:paraId="3AFC08A4" w14:textId="77777777" w:rsidR="005C66B6" w:rsidRPr="00C518F2" w:rsidRDefault="005C66B6" w:rsidP="000F6D4C">
      <w:pPr>
        <w:autoSpaceDE w:val="0"/>
        <w:autoSpaceDN w:val="0"/>
        <w:adjustRightInd w:val="0"/>
        <w:ind w:left="4236" w:firstLine="720"/>
        <w:jc w:val="right"/>
        <w:rPr>
          <w:b/>
          <w:bCs/>
          <w:color w:val="000000"/>
          <w:lang w:val="uk-UA"/>
        </w:rPr>
      </w:pPr>
      <w:r w:rsidRPr="00C518F2">
        <w:rPr>
          <w:b/>
          <w:bCs/>
          <w:color w:val="000000"/>
          <w:lang w:val="uk-UA"/>
        </w:rPr>
        <w:t>до оголошення про проведення тендеру</w:t>
      </w:r>
    </w:p>
    <w:p w14:paraId="71E44BF9" w14:textId="77777777" w:rsidR="00201D08" w:rsidRPr="000F6D4C" w:rsidRDefault="00201D08" w:rsidP="000F6D4C">
      <w:pPr>
        <w:autoSpaceDE w:val="0"/>
        <w:autoSpaceDN w:val="0"/>
        <w:adjustRightInd w:val="0"/>
        <w:ind w:left="4236" w:firstLine="720"/>
        <w:jc w:val="right"/>
        <w:rPr>
          <w:b/>
          <w:bCs/>
          <w:color w:val="000000"/>
          <w:sz w:val="16"/>
          <w:lang w:val="uk-UA"/>
        </w:rPr>
      </w:pPr>
    </w:p>
    <w:p w14:paraId="5E438BD6" w14:textId="77777777" w:rsidR="005C66B6" w:rsidRPr="00C518F2" w:rsidRDefault="005C66B6" w:rsidP="00F745C5">
      <w:pPr>
        <w:pStyle w:val="Heading4"/>
        <w:ind w:right="-40"/>
        <w:rPr>
          <w:rFonts w:ascii="Times New Roman" w:hAnsi="Times New Roman"/>
          <w:b w:val="0"/>
          <w:bCs/>
          <w:color w:val="000000"/>
          <w:sz w:val="24"/>
          <w:szCs w:val="24"/>
          <w:lang w:val="uk-UA"/>
        </w:rPr>
      </w:pPr>
    </w:p>
    <w:p w14:paraId="60587EA9" w14:textId="77777777" w:rsidR="00374EDB" w:rsidRPr="00903734" w:rsidRDefault="00374EDB" w:rsidP="00374EDB">
      <w:pPr>
        <w:pStyle w:val="ListParagraph"/>
        <w:autoSpaceDE w:val="0"/>
        <w:autoSpaceDN w:val="0"/>
        <w:adjustRightInd w:val="0"/>
        <w:ind w:left="1211"/>
        <w:rPr>
          <w:b/>
          <w:bCs/>
          <w:color w:val="000000"/>
          <w:lang w:val="uk-UA"/>
        </w:rPr>
      </w:pPr>
      <w:r w:rsidRPr="00903734">
        <w:rPr>
          <w:b/>
          <w:bCs/>
          <w:color w:val="000000"/>
          <w:lang w:val="uk-UA"/>
        </w:rPr>
        <w:t>ТЕХНІЧНА СПЕЦИФІКАЦІЯ / ТЕХНІЧНЕ ЗАВДАННЯ</w:t>
      </w:r>
    </w:p>
    <w:p w14:paraId="3E000524" w14:textId="77777777" w:rsidR="00374EDB" w:rsidRPr="00903734" w:rsidRDefault="00374EDB" w:rsidP="00374EDB">
      <w:pPr>
        <w:pStyle w:val="ListParagraph"/>
        <w:autoSpaceDE w:val="0"/>
        <w:autoSpaceDN w:val="0"/>
        <w:adjustRightInd w:val="0"/>
        <w:ind w:left="1211"/>
        <w:rPr>
          <w:b/>
          <w:bCs/>
          <w:color w:val="000000"/>
          <w:lang w:val="uk-UA"/>
        </w:rPr>
      </w:pPr>
    </w:p>
    <w:p w14:paraId="21D21790" w14:textId="77777777" w:rsidR="00374EDB" w:rsidRPr="00903734" w:rsidRDefault="00374EDB" w:rsidP="00545F51">
      <w:pPr>
        <w:jc w:val="both"/>
        <w:rPr>
          <w:b/>
          <w:bCs/>
          <w:lang w:val="uk-UA"/>
        </w:rPr>
      </w:pPr>
      <w:r w:rsidRPr="00903734">
        <w:rPr>
          <w:b/>
          <w:bCs/>
          <w:lang w:val="uk-UA"/>
        </w:rPr>
        <w:t>Вимоги до закупівлі:</w:t>
      </w:r>
    </w:p>
    <w:p w14:paraId="13DEAEDB" w14:textId="77777777" w:rsidR="00374EDB" w:rsidRPr="00903734" w:rsidRDefault="00374EDB" w:rsidP="00545F51">
      <w:pPr>
        <w:spacing w:before="100" w:beforeAutospacing="1" w:after="100" w:afterAutospacing="1"/>
        <w:rPr>
          <w:b/>
          <w:bCs/>
          <w:lang w:val="uk-UA"/>
        </w:rPr>
      </w:pPr>
      <w:r w:rsidRPr="00903734">
        <w:rPr>
          <w:b/>
          <w:bCs/>
          <w:lang w:val="uk-UA"/>
        </w:rPr>
        <w:t>ВАЖЛИВО:</w:t>
      </w:r>
    </w:p>
    <w:p w14:paraId="650FE395" w14:textId="3FD79F1A" w:rsidR="00051659" w:rsidRDefault="00051659" w:rsidP="00051659">
      <w:pPr>
        <w:spacing w:before="100" w:beforeAutospacing="1" w:after="100" w:afterAutospacing="1"/>
        <w:jc w:val="both"/>
        <w:rPr>
          <w:lang w:val="uk-UA"/>
        </w:rPr>
      </w:pPr>
      <w:r w:rsidRPr="00903734">
        <w:rPr>
          <w:lang w:val="uk-UA"/>
        </w:rPr>
        <w:t>Техніка</w:t>
      </w:r>
      <w:r w:rsidR="00EC7172">
        <w:rPr>
          <w:lang w:val="uk-UA"/>
        </w:rPr>
        <w:t>/ послуги</w:t>
      </w:r>
      <w:r w:rsidRPr="00903734">
        <w:rPr>
          <w:lang w:val="uk-UA"/>
        </w:rPr>
        <w:t xml:space="preserve"> ма</w:t>
      </w:r>
      <w:r w:rsidR="00EC7172">
        <w:rPr>
          <w:lang w:val="uk-UA"/>
        </w:rPr>
        <w:t>ють</w:t>
      </w:r>
      <w:r w:rsidRPr="00903734">
        <w:rPr>
          <w:lang w:val="uk-UA"/>
        </w:rPr>
        <w:t xml:space="preserve"> бути </w:t>
      </w:r>
      <w:r>
        <w:rPr>
          <w:lang w:val="uk-UA"/>
        </w:rPr>
        <w:t>сертифікован</w:t>
      </w:r>
      <w:r w:rsidR="00EC7172">
        <w:rPr>
          <w:lang w:val="uk-UA"/>
        </w:rPr>
        <w:t>і</w:t>
      </w:r>
      <w:r>
        <w:rPr>
          <w:lang w:val="uk-UA"/>
        </w:rPr>
        <w:t xml:space="preserve"> та </w:t>
      </w:r>
      <w:r w:rsidRPr="00903734">
        <w:rPr>
          <w:lang w:val="uk-UA"/>
        </w:rPr>
        <w:t>адаптован</w:t>
      </w:r>
      <w:r w:rsidR="00EC7172">
        <w:rPr>
          <w:lang w:val="uk-UA"/>
        </w:rPr>
        <w:t>і</w:t>
      </w:r>
      <w:r w:rsidRPr="00903734">
        <w:rPr>
          <w:lang w:val="uk-UA"/>
        </w:rPr>
        <w:t xml:space="preserve"> для українського ринку, сумісна з параметрами електромереж, відповідати вимогам законодавств</w:t>
      </w:r>
      <w:r>
        <w:rPr>
          <w:lang w:val="uk-UA"/>
        </w:rPr>
        <w:t>а</w:t>
      </w:r>
      <w:r w:rsidRPr="00903734">
        <w:rPr>
          <w:lang w:val="uk-UA"/>
        </w:rPr>
        <w:t xml:space="preserve"> України по відношенню до конкретного обладнання. Техніка має постачатися повністю готова до експлуатації.</w:t>
      </w:r>
    </w:p>
    <w:p w14:paraId="2D9AAD96" w14:textId="55344DFC" w:rsidR="00051659" w:rsidRPr="003A3619" w:rsidRDefault="00051659" w:rsidP="00051659">
      <w:pPr>
        <w:spacing w:before="100" w:beforeAutospacing="1" w:after="100" w:afterAutospacing="1"/>
        <w:jc w:val="both"/>
        <w:rPr>
          <w:lang w:val="uk-UA"/>
        </w:rPr>
      </w:pPr>
      <w:r w:rsidRPr="003A3619">
        <w:rPr>
          <w:lang w:val="uk-UA"/>
        </w:rPr>
        <w:t xml:space="preserve">Товари і послуги, джерелом походження </w:t>
      </w:r>
      <w:r w:rsidRPr="006D0D49">
        <w:rPr>
          <w:lang w:val="uk-UA"/>
        </w:rPr>
        <w:t>яких або їх</w:t>
      </w:r>
      <w:r w:rsidR="00951404" w:rsidRPr="006D0D49">
        <w:rPr>
          <w:lang w:val="uk-UA"/>
        </w:rPr>
        <w:t>ня</w:t>
      </w:r>
      <w:r w:rsidRPr="003A3619">
        <w:rPr>
          <w:lang w:val="ru-RU"/>
        </w:rPr>
        <w:t xml:space="preserve"> </w:t>
      </w:r>
      <w:r w:rsidRPr="003A3619">
        <w:rPr>
          <w:lang w:val="uk-UA"/>
        </w:rPr>
        <w:t>національна приналежність є передова країна, що розвивається,</w:t>
      </w:r>
      <w:r w:rsidRPr="003A3619">
        <w:rPr>
          <w:lang w:val="ru-RU"/>
        </w:rPr>
        <w:t xml:space="preserve"> </w:t>
      </w:r>
      <w:r w:rsidRPr="003A3619">
        <w:rPr>
          <w:lang w:val="uk-UA"/>
        </w:rPr>
        <w:t xml:space="preserve">не можуть пропонуватися для поставки. Походження означає країну, з якої товар відправляється в Україну, чи саму Україну, якщо товар знаходиться в ній під час покупки, незалежно від місця виготовлення чи виробництва. Де, однак, якщо товар відвантажується з вільного порту або митного складу у тій же формі, у якій він був там отриманий, </w:t>
      </w:r>
      <w:r w:rsidRPr="003A3619">
        <w:rPr>
          <w:lang w:val="ru-RU"/>
        </w:rPr>
        <w:t>“</w:t>
      </w:r>
      <w:r w:rsidRPr="003A3619">
        <w:rPr>
          <w:lang w:val="uk-UA"/>
        </w:rPr>
        <w:t>походження” означає країну, з якої цей товар був відвантажений у вільний порт або на митний склад. Національна приналежність постачальника товарів та послуг означає місцезнаходження юридичної організації, права власності, громадянства чи законного постійного місця проживання (</w:t>
      </w:r>
      <w:r w:rsidRPr="003A3619">
        <w:t>a</w:t>
      </w:r>
      <w:r w:rsidRPr="003A3619">
        <w:rPr>
          <w:lang w:val="uk-UA"/>
        </w:rPr>
        <w:t>бо прирівнюється до імміграційного статусу, що дозволяє жити та працювати на постійній основі).  “Передова країна, що розвивається” означає ту, яка Світовим Банком визначена як країна з доходом вище середнього</w:t>
      </w:r>
      <w:r w:rsidRPr="003A3619">
        <w:rPr>
          <w:lang w:val="ru-RU"/>
        </w:rPr>
        <w:t xml:space="preserve"> </w:t>
      </w:r>
      <w:r w:rsidRPr="003A3619">
        <w:rPr>
          <w:lang w:val="uk-UA"/>
        </w:rPr>
        <w:t xml:space="preserve">відповідно до її валового національного доходу на душу населення. Список країн, що розвиваються, можна знайти за цим посиланням: </w:t>
      </w:r>
      <w:hyperlink r:id="rId8" w:history="1">
        <w:r w:rsidRPr="003A3619">
          <w:rPr>
            <w:rStyle w:val="Hyperlink"/>
            <w:lang w:val="uk-UA"/>
          </w:rPr>
          <w:t>https://datahelpdesk.worldbank.org/knowledgebase/articles/906519-world-bank-country-and-lending-groups</w:t>
        </w:r>
      </w:hyperlink>
      <w:r w:rsidRPr="003A3619">
        <w:rPr>
          <w:lang w:val="uk-UA"/>
        </w:rPr>
        <w:t>. Якщо вказаний товар знаходиться в Україні на час подання тендерної пропозиції, учасник повинен надати офіційного листа, що підтверджує фактичне знаходження товарів в Україні.</w:t>
      </w:r>
    </w:p>
    <w:p w14:paraId="6030AA30" w14:textId="0CCDB085" w:rsidR="00AE0DF9" w:rsidRPr="00565EB4" w:rsidRDefault="00C81BC4" w:rsidP="00A73EC0">
      <w:pPr>
        <w:spacing w:before="100" w:beforeAutospacing="1" w:after="100" w:afterAutospacing="1"/>
        <w:jc w:val="both"/>
        <w:rPr>
          <w:b/>
          <w:lang w:val="uk-UA"/>
        </w:rPr>
      </w:pPr>
      <w:r>
        <w:rPr>
          <w:b/>
          <w:lang w:val="uk-UA"/>
        </w:rPr>
        <w:t xml:space="preserve">Лот </w:t>
      </w:r>
      <w:r w:rsidRPr="00F05B8C">
        <w:rPr>
          <w:b/>
          <w:lang w:val="uk-UA"/>
        </w:rPr>
        <w:t xml:space="preserve">1. Технічні вимоги </w:t>
      </w:r>
      <w:r w:rsidR="00374EDB" w:rsidRPr="00F05B8C">
        <w:rPr>
          <w:b/>
          <w:lang w:val="uk-UA"/>
        </w:rPr>
        <w:t>до закуп</w:t>
      </w:r>
      <w:r w:rsidR="00CB0B51" w:rsidRPr="00F05B8C">
        <w:rPr>
          <w:b/>
          <w:lang w:val="uk-UA"/>
        </w:rPr>
        <w:t xml:space="preserve">івлі </w:t>
      </w:r>
      <w:r w:rsidR="00F05B8C" w:rsidRPr="00F05B8C">
        <w:rPr>
          <w:b/>
          <w:lang w:val="uk-UA"/>
        </w:rPr>
        <w:t>реагентів для секвенування зразків стічних вод</w:t>
      </w:r>
      <w:r w:rsidR="006E4953" w:rsidRPr="00F05B8C">
        <w:rPr>
          <w:lang w:val="uk-UA"/>
        </w:rPr>
        <w:t>.</w:t>
      </w:r>
    </w:p>
    <w:p w14:paraId="45FDEE05" w14:textId="77777777" w:rsidR="00565EB4" w:rsidRPr="00903734" w:rsidRDefault="00565EB4" w:rsidP="00374EDB">
      <w:pPr>
        <w:pStyle w:val="1"/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B0ECEB4" w14:textId="77777777" w:rsidR="00016691" w:rsidRPr="001D1D8E" w:rsidRDefault="00016691" w:rsidP="005B20C8">
      <w:pPr>
        <w:autoSpaceDE w:val="0"/>
        <w:autoSpaceDN w:val="0"/>
        <w:rPr>
          <w:b/>
          <w:bCs/>
          <w:lang w:val="uk-UA"/>
        </w:rPr>
      </w:pP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677"/>
        <w:gridCol w:w="23"/>
        <w:gridCol w:w="2838"/>
        <w:gridCol w:w="4820"/>
        <w:gridCol w:w="1127"/>
      </w:tblGrid>
      <w:tr w:rsidR="002771F1" w:rsidRPr="00FE1F96" w14:paraId="14915B59" w14:textId="77777777" w:rsidTr="00EE11A3">
        <w:tc>
          <w:tcPr>
            <w:tcW w:w="677" w:type="dxa"/>
          </w:tcPr>
          <w:p w14:paraId="68F99F48" w14:textId="77777777" w:rsidR="002771F1" w:rsidRPr="00FE1F96" w:rsidRDefault="002771F1" w:rsidP="00E470D6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61" w:type="dxa"/>
            <w:gridSpan w:val="2"/>
          </w:tcPr>
          <w:p w14:paraId="4B608DE2" w14:textId="77777777" w:rsidR="002771F1" w:rsidRPr="00FE1F96" w:rsidRDefault="002771F1" w:rsidP="00E470D6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</w:t>
            </w:r>
          </w:p>
        </w:tc>
        <w:tc>
          <w:tcPr>
            <w:tcW w:w="5947" w:type="dxa"/>
            <w:gridSpan w:val="2"/>
          </w:tcPr>
          <w:p w14:paraId="522FF330" w14:textId="77777777" w:rsidR="002771F1" w:rsidRPr="00FE1F96" w:rsidRDefault="002771F1" w:rsidP="00E470D6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характеристики</w:t>
            </w:r>
          </w:p>
        </w:tc>
      </w:tr>
      <w:tr w:rsidR="002771F1" w:rsidRPr="00EE37B4" w14:paraId="2AED9E64" w14:textId="77777777" w:rsidTr="00EE11A3">
        <w:tc>
          <w:tcPr>
            <w:tcW w:w="9485" w:type="dxa"/>
            <w:gridSpan w:val="5"/>
          </w:tcPr>
          <w:p w14:paraId="276A0FD1" w14:textId="00EF93EA" w:rsidR="002771F1" w:rsidRPr="002771F1" w:rsidRDefault="002771F1" w:rsidP="00E470D6">
            <w:pPr>
              <w:pStyle w:val="NoSpacing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Р</w:t>
            </w:r>
            <w:r w:rsidRPr="002771F1">
              <w:rPr>
                <w:b/>
                <w:bCs/>
                <w:lang w:val="ru-RU"/>
              </w:rPr>
              <w:t>еагент</w:t>
            </w:r>
            <w:r>
              <w:rPr>
                <w:b/>
                <w:bCs/>
                <w:lang w:val="ru-RU"/>
              </w:rPr>
              <w:t>и</w:t>
            </w:r>
            <w:proofErr w:type="spellEnd"/>
            <w:r w:rsidRPr="002771F1">
              <w:rPr>
                <w:b/>
                <w:bCs/>
                <w:lang w:val="ru-RU"/>
              </w:rPr>
              <w:t xml:space="preserve"> для </w:t>
            </w:r>
            <w:proofErr w:type="spellStart"/>
            <w:r w:rsidRPr="002771F1">
              <w:rPr>
                <w:b/>
                <w:bCs/>
                <w:lang w:val="ru-RU"/>
              </w:rPr>
              <w:t>секвенування</w:t>
            </w:r>
            <w:proofErr w:type="spellEnd"/>
            <w:r w:rsidRPr="002771F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771F1">
              <w:rPr>
                <w:b/>
                <w:bCs/>
                <w:lang w:val="ru-RU"/>
              </w:rPr>
              <w:t>зразків</w:t>
            </w:r>
            <w:proofErr w:type="spellEnd"/>
            <w:r w:rsidRPr="002771F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771F1">
              <w:rPr>
                <w:b/>
                <w:bCs/>
                <w:lang w:val="ru-RU"/>
              </w:rPr>
              <w:t>стічних</w:t>
            </w:r>
            <w:proofErr w:type="spellEnd"/>
            <w:r w:rsidRPr="002771F1">
              <w:rPr>
                <w:b/>
                <w:bCs/>
                <w:lang w:val="ru-RU"/>
              </w:rPr>
              <w:t xml:space="preserve"> вод</w:t>
            </w:r>
          </w:p>
        </w:tc>
      </w:tr>
      <w:tr w:rsidR="002771F1" w:rsidRPr="00AE0DF9" w14:paraId="1978D750" w14:textId="77777777" w:rsidTr="00EE11A3">
        <w:trPr>
          <w:trHeight w:val="405"/>
        </w:trPr>
        <w:tc>
          <w:tcPr>
            <w:tcW w:w="9485" w:type="dxa"/>
            <w:gridSpan w:val="5"/>
          </w:tcPr>
          <w:p w14:paraId="78E23785" w14:textId="77777777" w:rsidR="002771F1" w:rsidRPr="00DF421A" w:rsidRDefault="002771F1" w:rsidP="00E470D6">
            <w:pPr>
              <w:pStyle w:val="ListParagraph"/>
              <w:numPr>
                <w:ilvl w:val="0"/>
                <w:numId w:val="6"/>
              </w:numPr>
              <w:rPr>
                <w:b/>
                <w:lang w:val="uk-UA" w:eastAsia="ru-RU"/>
              </w:rPr>
            </w:pPr>
            <w:r w:rsidRPr="00DF421A">
              <w:rPr>
                <w:b/>
                <w:lang w:val="uk-UA" w:eastAsia="ru-RU"/>
              </w:rPr>
              <w:t xml:space="preserve">Загальні відомості </w:t>
            </w:r>
          </w:p>
        </w:tc>
      </w:tr>
      <w:tr w:rsidR="002771F1" w:rsidRPr="00EE37B4" w14:paraId="3273089D" w14:textId="77777777" w:rsidTr="00EE11A3">
        <w:tc>
          <w:tcPr>
            <w:tcW w:w="700" w:type="dxa"/>
            <w:gridSpan w:val="2"/>
          </w:tcPr>
          <w:p w14:paraId="4BE8E46A" w14:textId="77777777" w:rsidR="002771F1" w:rsidRPr="00004005" w:rsidRDefault="002771F1" w:rsidP="00E470D6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838" w:type="dxa"/>
          </w:tcPr>
          <w:p w14:paraId="408F93DE" w14:textId="77777777" w:rsidR="002771F1" w:rsidRPr="001751C7" w:rsidRDefault="002771F1" w:rsidP="00E470D6">
            <w:pPr>
              <w:rPr>
                <w:lang w:val="uk-UA" w:eastAsia="ru-RU"/>
              </w:rPr>
            </w:pPr>
            <w:r w:rsidRPr="001751C7">
              <w:rPr>
                <w:lang w:val="uk-UA" w:eastAsia="ru-RU"/>
              </w:rPr>
              <w:t>Походження обладнання</w:t>
            </w:r>
          </w:p>
        </w:tc>
        <w:tc>
          <w:tcPr>
            <w:tcW w:w="5947" w:type="dxa"/>
            <w:gridSpan w:val="2"/>
          </w:tcPr>
          <w:p w14:paraId="5F2891ED" w14:textId="37A74A90" w:rsidR="002771F1" w:rsidRPr="001751C7" w:rsidRDefault="00EE3768" w:rsidP="00E470D6">
            <w:pPr>
              <w:rPr>
                <w:lang w:val="uk-UA" w:eastAsia="ru-RU"/>
              </w:rPr>
            </w:pPr>
            <w:r w:rsidRPr="001751C7">
              <w:rPr>
                <w:lang w:val="uk-UA" w:eastAsia="ru-RU"/>
              </w:rPr>
              <w:t>Великобританія (</w:t>
            </w:r>
            <w:r w:rsidRPr="001751C7">
              <w:rPr>
                <w:lang w:eastAsia="ru-RU"/>
              </w:rPr>
              <w:t>UK</w:t>
            </w:r>
            <w:r w:rsidRPr="001751C7">
              <w:rPr>
                <w:lang w:val="uk-UA" w:eastAsia="ru-RU"/>
              </w:rPr>
              <w:t>)</w:t>
            </w:r>
            <w:r w:rsidR="001751C7" w:rsidRPr="001751C7">
              <w:rPr>
                <w:lang w:val="uk-UA" w:eastAsia="ru-RU"/>
              </w:rPr>
              <w:t xml:space="preserve"> (для </w:t>
            </w:r>
            <w:r w:rsidR="001751C7" w:rsidRPr="001751C7">
              <w:rPr>
                <w:bCs/>
                <w:lang w:val="uk-UA" w:eastAsia="ru-RU"/>
              </w:rPr>
              <w:t xml:space="preserve">платформи </w:t>
            </w:r>
            <w:proofErr w:type="spellStart"/>
            <w:r w:rsidR="001751C7" w:rsidRPr="001751C7">
              <w:rPr>
                <w:bCs/>
                <w:lang w:val="uk-UA" w:eastAsia="ru-RU"/>
              </w:rPr>
              <w:t>Ion</w:t>
            </w:r>
            <w:proofErr w:type="spellEnd"/>
            <w:r w:rsidR="001751C7" w:rsidRPr="001751C7">
              <w:rPr>
                <w:bCs/>
                <w:lang w:val="uk-UA" w:eastAsia="ru-RU"/>
              </w:rPr>
              <w:t xml:space="preserve"> </w:t>
            </w:r>
            <w:proofErr w:type="spellStart"/>
            <w:r w:rsidR="001751C7" w:rsidRPr="001751C7">
              <w:rPr>
                <w:bCs/>
                <w:lang w:val="uk-UA" w:eastAsia="ru-RU"/>
              </w:rPr>
              <w:t>GenStudion</w:t>
            </w:r>
            <w:proofErr w:type="spellEnd"/>
            <w:r w:rsidR="001751C7" w:rsidRPr="001751C7">
              <w:rPr>
                <w:bCs/>
                <w:lang w:val="uk-UA" w:eastAsia="ru-RU"/>
              </w:rPr>
              <w:t xml:space="preserve"> S5 NGS)</w:t>
            </w:r>
          </w:p>
        </w:tc>
      </w:tr>
      <w:tr w:rsidR="002771F1" w:rsidRPr="00497287" w14:paraId="222CCF34" w14:textId="77777777" w:rsidTr="00EE11A3">
        <w:trPr>
          <w:trHeight w:val="688"/>
        </w:trPr>
        <w:tc>
          <w:tcPr>
            <w:tcW w:w="700" w:type="dxa"/>
            <w:gridSpan w:val="2"/>
          </w:tcPr>
          <w:p w14:paraId="021E4EDF" w14:textId="77777777" w:rsidR="002771F1" w:rsidRPr="00004005" w:rsidRDefault="002771F1" w:rsidP="00E470D6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2838" w:type="dxa"/>
          </w:tcPr>
          <w:p w14:paraId="5FC480B3" w14:textId="77777777" w:rsidR="002771F1" w:rsidRPr="001751C7" w:rsidRDefault="002771F1" w:rsidP="00E470D6">
            <w:pPr>
              <w:rPr>
                <w:lang w:val="uk-UA" w:eastAsia="ru-RU"/>
              </w:rPr>
            </w:pPr>
            <w:r w:rsidRPr="001751C7">
              <w:rPr>
                <w:lang w:val="uk-UA" w:eastAsia="ru-RU"/>
              </w:rPr>
              <w:t>Національна приналежність постачальника (учасника)</w:t>
            </w:r>
          </w:p>
        </w:tc>
        <w:tc>
          <w:tcPr>
            <w:tcW w:w="5947" w:type="dxa"/>
            <w:gridSpan w:val="2"/>
          </w:tcPr>
          <w:p w14:paraId="108A3C02" w14:textId="77777777" w:rsidR="002771F1" w:rsidRPr="001751C7" w:rsidRDefault="002771F1" w:rsidP="00E470D6">
            <w:pPr>
              <w:rPr>
                <w:lang w:val="uk-UA" w:eastAsia="ru-RU"/>
              </w:rPr>
            </w:pPr>
            <w:r w:rsidRPr="001751C7">
              <w:rPr>
                <w:lang w:val="uk-UA" w:eastAsia="ru-RU"/>
              </w:rPr>
              <w:t>Україна</w:t>
            </w:r>
          </w:p>
        </w:tc>
      </w:tr>
      <w:tr w:rsidR="002771F1" w:rsidRPr="00497287" w14:paraId="16B197EA" w14:textId="77777777" w:rsidTr="00EE11A3">
        <w:tc>
          <w:tcPr>
            <w:tcW w:w="700" w:type="dxa"/>
            <w:gridSpan w:val="2"/>
          </w:tcPr>
          <w:p w14:paraId="2C15B364" w14:textId="77777777" w:rsidR="002771F1" w:rsidRPr="00004005" w:rsidRDefault="002771F1" w:rsidP="00E470D6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2838" w:type="dxa"/>
          </w:tcPr>
          <w:p w14:paraId="578FD154" w14:textId="77777777" w:rsidR="002771F1" w:rsidRPr="001751C7" w:rsidRDefault="002771F1" w:rsidP="00E470D6">
            <w:pPr>
              <w:rPr>
                <w:lang w:val="uk-UA" w:eastAsia="ru-RU"/>
              </w:rPr>
            </w:pPr>
            <w:r w:rsidRPr="001751C7">
              <w:rPr>
                <w:lang w:val="uk-UA" w:eastAsia="ru-RU"/>
              </w:rPr>
              <w:t>Фірма-виробник обладнання</w:t>
            </w:r>
          </w:p>
        </w:tc>
        <w:tc>
          <w:tcPr>
            <w:tcW w:w="5947" w:type="dxa"/>
            <w:gridSpan w:val="2"/>
          </w:tcPr>
          <w:p w14:paraId="435E60BA" w14:textId="2BD12203" w:rsidR="002771F1" w:rsidRPr="001751C7" w:rsidRDefault="00EE3768" w:rsidP="00E470D6">
            <w:pPr>
              <w:rPr>
                <w:lang w:eastAsia="ru-RU"/>
              </w:rPr>
            </w:pPr>
            <w:r w:rsidRPr="001751C7">
              <w:rPr>
                <w:lang w:val="uk-UA" w:eastAsia="ru-RU"/>
              </w:rPr>
              <w:t xml:space="preserve">Life Technologies </w:t>
            </w:r>
            <w:proofErr w:type="spellStart"/>
            <w:r w:rsidRPr="001751C7">
              <w:rPr>
                <w:lang w:val="uk-UA" w:eastAsia="ru-RU"/>
              </w:rPr>
              <w:t>Limited</w:t>
            </w:r>
            <w:proofErr w:type="spellEnd"/>
            <w:r w:rsidR="001925C2" w:rsidRPr="001751C7">
              <w:rPr>
                <w:lang w:eastAsia="ru-RU"/>
              </w:rPr>
              <w:t xml:space="preserve"> (</w:t>
            </w:r>
            <w:r w:rsidR="001751C7" w:rsidRPr="001751C7">
              <w:rPr>
                <w:lang w:val="uk-UA" w:eastAsia="ru-RU"/>
              </w:rPr>
              <w:t xml:space="preserve">для </w:t>
            </w:r>
            <w:r w:rsidR="001925C2" w:rsidRPr="001751C7">
              <w:rPr>
                <w:bCs/>
                <w:lang w:val="uk-UA" w:eastAsia="ru-RU"/>
              </w:rPr>
              <w:t>платформ</w:t>
            </w:r>
            <w:r w:rsidR="001751C7" w:rsidRPr="001751C7">
              <w:rPr>
                <w:bCs/>
                <w:lang w:val="uk-UA" w:eastAsia="ru-RU"/>
              </w:rPr>
              <w:t>и</w:t>
            </w:r>
            <w:r w:rsidR="001925C2" w:rsidRPr="001751C7">
              <w:rPr>
                <w:bCs/>
                <w:lang w:val="uk-UA" w:eastAsia="ru-RU"/>
              </w:rPr>
              <w:t xml:space="preserve"> </w:t>
            </w:r>
            <w:proofErr w:type="spellStart"/>
            <w:r w:rsidR="001925C2" w:rsidRPr="001751C7">
              <w:rPr>
                <w:bCs/>
                <w:lang w:val="uk-UA" w:eastAsia="ru-RU"/>
              </w:rPr>
              <w:t>Ion</w:t>
            </w:r>
            <w:proofErr w:type="spellEnd"/>
            <w:r w:rsidR="001925C2" w:rsidRPr="001751C7">
              <w:rPr>
                <w:bCs/>
                <w:lang w:val="uk-UA" w:eastAsia="ru-RU"/>
              </w:rPr>
              <w:t xml:space="preserve"> </w:t>
            </w:r>
            <w:proofErr w:type="spellStart"/>
            <w:r w:rsidR="001925C2" w:rsidRPr="001751C7">
              <w:rPr>
                <w:bCs/>
                <w:lang w:val="uk-UA" w:eastAsia="ru-RU"/>
              </w:rPr>
              <w:t>GenStudion</w:t>
            </w:r>
            <w:proofErr w:type="spellEnd"/>
            <w:r w:rsidR="001925C2" w:rsidRPr="001751C7">
              <w:rPr>
                <w:bCs/>
                <w:lang w:val="uk-UA" w:eastAsia="ru-RU"/>
              </w:rPr>
              <w:t xml:space="preserve"> S5 NGS</w:t>
            </w:r>
            <w:r w:rsidR="001925C2" w:rsidRPr="001751C7">
              <w:rPr>
                <w:bCs/>
                <w:lang w:eastAsia="ru-RU"/>
              </w:rPr>
              <w:t>)</w:t>
            </w:r>
          </w:p>
        </w:tc>
      </w:tr>
      <w:tr w:rsidR="002771F1" w:rsidRPr="00EE37B4" w14:paraId="511AF90A" w14:textId="77777777" w:rsidTr="00EE11A3">
        <w:tc>
          <w:tcPr>
            <w:tcW w:w="700" w:type="dxa"/>
            <w:gridSpan w:val="2"/>
          </w:tcPr>
          <w:p w14:paraId="361DA567" w14:textId="77777777" w:rsidR="002771F1" w:rsidRPr="00004005" w:rsidRDefault="002771F1" w:rsidP="00E470D6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2838" w:type="dxa"/>
          </w:tcPr>
          <w:p w14:paraId="2A5F3F81" w14:textId="77777777" w:rsidR="002771F1" w:rsidRPr="001751C7" w:rsidRDefault="002771F1" w:rsidP="00E470D6">
            <w:pPr>
              <w:rPr>
                <w:lang w:val="uk-UA" w:eastAsia="ru-RU"/>
              </w:rPr>
            </w:pPr>
            <w:r w:rsidRPr="001751C7">
              <w:rPr>
                <w:lang w:val="uk-UA" w:eastAsia="ru-RU"/>
              </w:rPr>
              <w:t>Країна-виробник</w:t>
            </w:r>
          </w:p>
        </w:tc>
        <w:tc>
          <w:tcPr>
            <w:tcW w:w="5947" w:type="dxa"/>
            <w:gridSpan w:val="2"/>
          </w:tcPr>
          <w:p w14:paraId="2313FE99" w14:textId="7BAD47CE" w:rsidR="002771F1" w:rsidRPr="001751C7" w:rsidRDefault="00EE3768" w:rsidP="00E470D6">
            <w:pPr>
              <w:rPr>
                <w:lang w:val="uk-UA" w:eastAsia="ru-RU"/>
              </w:rPr>
            </w:pPr>
            <w:r w:rsidRPr="001751C7">
              <w:rPr>
                <w:lang w:val="uk-UA" w:eastAsia="ru-RU"/>
              </w:rPr>
              <w:t>Великобританія (</w:t>
            </w:r>
            <w:r w:rsidRPr="001751C7">
              <w:rPr>
                <w:lang w:eastAsia="ru-RU"/>
              </w:rPr>
              <w:t>UK</w:t>
            </w:r>
            <w:r w:rsidRPr="001751C7">
              <w:rPr>
                <w:lang w:val="uk-UA" w:eastAsia="ru-RU"/>
              </w:rPr>
              <w:t>)</w:t>
            </w:r>
            <w:r w:rsidR="001751C7" w:rsidRPr="001751C7">
              <w:rPr>
                <w:lang w:val="uk-UA" w:eastAsia="ru-RU"/>
              </w:rPr>
              <w:t xml:space="preserve"> (для </w:t>
            </w:r>
            <w:r w:rsidR="001751C7" w:rsidRPr="001751C7">
              <w:rPr>
                <w:bCs/>
                <w:lang w:val="uk-UA" w:eastAsia="ru-RU"/>
              </w:rPr>
              <w:t xml:space="preserve">платформи </w:t>
            </w:r>
            <w:proofErr w:type="spellStart"/>
            <w:r w:rsidR="001751C7" w:rsidRPr="001751C7">
              <w:rPr>
                <w:bCs/>
                <w:lang w:val="uk-UA" w:eastAsia="ru-RU"/>
              </w:rPr>
              <w:t>Ion</w:t>
            </w:r>
            <w:proofErr w:type="spellEnd"/>
            <w:r w:rsidR="001751C7" w:rsidRPr="001751C7">
              <w:rPr>
                <w:bCs/>
                <w:lang w:val="uk-UA" w:eastAsia="ru-RU"/>
              </w:rPr>
              <w:t xml:space="preserve"> </w:t>
            </w:r>
            <w:proofErr w:type="spellStart"/>
            <w:r w:rsidR="001751C7" w:rsidRPr="001751C7">
              <w:rPr>
                <w:bCs/>
                <w:lang w:val="uk-UA" w:eastAsia="ru-RU"/>
              </w:rPr>
              <w:t>GenStudion</w:t>
            </w:r>
            <w:proofErr w:type="spellEnd"/>
            <w:r w:rsidR="001751C7" w:rsidRPr="001751C7">
              <w:rPr>
                <w:bCs/>
                <w:lang w:val="uk-UA" w:eastAsia="ru-RU"/>
              </w:rPr>
              <w:t xml:space="preserve"> S5 NGS)</w:t>
            </w:r>
          </w:p>
        </w:tc>
      </w:tr>
      <w:tr w:rsidR="002771F1" w:rsidRPr="00497287" w14:paraId="556EEDC7" w14:textId="77777777" w:rsidTr="00EE11A3">
        <w:tc>
          <w:tcPr>
            <w:tcW w:w="9485" w:type="dxa"/>
            <w:gridSpan w:val="5"/>
          </w:tcPr>
          <w:p w14:paraId="70039B6F" w14:textId="77777777" w:rsidR="002771F1" w:rsidRPr="00004005" w:rsidRDefault="002771F1" w:rsidP="00E470D6">
            <w:pPr>
              <w:pStyle w:val="ListParagraph"/>
              <w:numPr>
                <w:ilvl w:val="0"/>
                <w:numId w:val="6"/>
              </w:numPr>
              <w:rPr>
                <w:lang w:val="uk-UA" w:eastAsia="ru-RU"/>
              </w:rPr>
            </w:pPr>
            <w:r w:rsidRPr="00004005">
              <w:rPr>
                <w:b/>
                <w:lang w:val="uk-UA" w:eastAsia="ru-RU"/>
              </w:rPr>
              <w:t xml:space="preserve"> Загальні вимоги:</w:t>
            </w:r>
          </w:p>
        </w:tc>
      </w:tr>
      <w:tr w:rsidR="002771F1" w:rsidRPr="00EE37B4" w14:paraId="57570EAA" w14:textId="77777777" w:rsidTr="00EE11A3">
        <w:tc>
          <w:tcPr>
            <w:tcW w:w="700" w:type="dxa"/>
            <w:gridSpan w:val="2"/>
          </w:tcPr>
          <w:p w14:paraId="1BA4E042" w14:textId="77777777" w:rsidR="002771F1" w:rsidRPr="00004005" w:rsidRDefault="002771F1" w:rsidP="00E470D6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2.1</w:t>
            </w:r>
          </w:p>
        </w:tc>
        <w:tc>
          <w:tcPr>
            <w:tcW w:w="2838" w:type="dxa"/>
          </w:tcPr>
          <w:p w14:paraId="1F3C0C36" w14:textId="0AD77941" w:rsidR="002771F1" w:rsidRPr="00004005" w:rsidRDefault="00EE3768" w:rsidP="00E470D6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придатності не менше 70% від загального строку придатності</w:t>
            </w:r>
          </w:p>
        </w:tc>
        <w:tc>
          <w:tcPr>
            <w:tcW w:w="5947" w:type="dxa"/>
            <w:gridSpan w:val="2"/>
          </w:tcPr>
          <w:p w14:paraId="5DAD2AFD" w14:textId="77777777" w:rsidR="002771F1" w:rsidRPr="00004005" w:rsidRDefault="002771F1" w:rsidP="00E470D6">
            <w:pPr>
              <w:rPr>
                <w:lang w:val="uk-UA" w:eastAsia="ru-RU"/>
              </w:rPr>
            </w:pPr>
          </w:p>
        </w:tc>
      </w:tr>
      <w:tr w:rsidR="002771F1" w:rsidRPr="002771F1" w14:paraId="6231EB5B" w14:textId="77777777" w:rsidTr="00EE11A3">
        <w:tc>
          <w:tcPr>
            <w:tcW w:w="700" w:type="dxa"/>
            <w:gridSpan w:val="2"/>
          </w:tcPr>
          <w:p w14:paraId="7131417D" w14:textId="6691A622" w:rsidR="002771F1" w:rsidRPr="00C4670F" w:rsidRDefault="002771F1" w:rsidP="00E470D6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46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8" w:type="dxa"/>
          </w:tcPr>
          <w:p w14:paraId="09AA5445" w14:textId="3C36E206" w:rsidR="002771F1" w:rsidRPr="00004005" w:rsidRDefault="004A57C8" w:rsidP="00E470D6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Постачання товару однією партією</w:t>
            </w:r>
          </w:p>
        </w:tc>
        <w:tc>
          <w:tcPr>
            <w:tcW w:w="5947" w:type="dxa"/>
            <w:gridSpan w:val="2"/>
          </w:tcPr>
          <w:p w14:paraId="666F9848" w14:textId="77777777" w:rsidR="002771F1" w:rsidRPr="00004005" w:rsidRDefault="002771F1" w:rsidP="00E470D6">
            <w:pPr>
              <w:rPr>
                <w:lang w:val="uk-UA" w:eastAsia="ru-RU"/>
              </w:rPr>
            </w:pPr>
          </w:p>
        </w:tc>
      </w:tr>
      <w:tr w:rsidR="002771F1" w:rsidRPr="00497287" w14:paraId="2B0956AD" w14:textId="77777777" w:rsidTr="00EE11A3">
        <w:tc>
          <w:tcPr>
            <w:tcW w:w="9485" w:type="dxa"/>
            <w:gridSpan w:val="5"/>
            <w:tcBorders>
              <w:right w:val="single" w:sz="4" w:space="0" w:color="000000"/>
            </w:tcBorders>
          </w:tcPr>
          <w:p w14:paraId="301EDCCC" w14:textId="77777777" w:rsidR="002771F1" w:rsidRPr="00C30A54" w:rsidRDefault="002771F1" w:rsidP="00E470D6">
            <w:pPr>
              <w:pStyle w:val="ListParagraph"/>
              <w:numPr>
                <w:ilvl w:val="0"/>
                <w:numId w:val="6"/>
              </w:numPr>
              <w:rPr>
                <w:bCs/>
                <w:lang w:val="uk-UA" w:eastAsia="ru-RU"/>
              </w:rPr>
            </w:pPr>
            <w:r w:rsidRPr="00C30A54">
              <w:rPr>
                <w:rStyle w:val="s26"/>
                <w:lang w:val="uk-UA"/>
              </w:rPr>
              <w:t>Комплектація:</w:t>
            </w:r>
          </w:p>
        </w:tc>
      </w:tr>
      <w:tr w:rsidR="004A57C8" w:rsidRPr="00DF421A" w14:paraId="548993D0" w14:textId="77777777" w:rsidTr="00EE11A3">
        <w:tc>
          <w:tcPr>
            <w:tcW w:w="700" w:type="dxa"/>
            <w:gridSpan w:val="2"/>
          </w:tcPr>
          <w:p w14:paraId="204EF926" w14:textId="4469F1EF" w:rsidR="004A57C8" w:rsidRDefault="004A57C8" w:rsidP="00E470D6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B8F987" w14:textId="1FDD1624" w:rsidR="004A57C8" w:rsidRPr="002856E4" w:rsidRDefault="004A57C8" w:rsidP="00E470D6">
            <w:pPr>
              <w:pStyle w:val="p42"/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2856E4">
              <w:rPr>
                <w:rFonts w:ascii="Times New Roman" w:hAnsi="Times New Roman"/>
                <w:b/>
                <w:bCs/>
                <w:lang w:val="uk-UA"/>
              </w:rPr>
              <w:t>Назва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7676D" w14:textId="4C272A05" w:rsidR="004A57C8" w:rsidRPr="002856E4" w:rsidRDefault="004A57C8" w:rsidP="00E470D6">
            <w:pPr>
              <w:rPr>
                <w:b/>
                <w:bCs/>
                <w:lang w:val="uk-UA" w:eastAsia="ru-RU"/>
              </w:rPr>
            </w:pPr>
            <w:r w:rsidRPr="002856E4">
              <w:rPr>
                <w:b/>
                <w:bCs/>
                <w:lang w:val="uk-UA" w:eastAsia="ru-RU"/>
              </w:rPr>
              <w:t>Специфікація</w:t>
            </w:r>
          </w:p>
        </w:tc>
        <w:tc>
          <w:tcPr>
            <w:tcW w:w="1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77E7" w14:textId="32E6E485" w:rsidR="004A57C8" w:rsidRPr="002856E4" w:rsidRDefault="004A57C8" w:rsidP="00E470D6">
            <w:pPr>
              <w:rPr>
                <w:b/>
                <w:bCs/>
                <w:lang w:val="uk-UA" w:eastAsia="ru-RU"/>
              </w:rPr>
            </w:pPr>
            <w:r w:rsidRPr="002856E4">
              <w:rPr>
                <w:b/>
                <w:bCs/>
                <w:lang w:val="uk-UA" w:eastAsia="ru-RU"/>
              </w:rPr>
              <w:t>Кількість</w:t>
            </w:r>
          </w:p>
        </w:tc>
      </w:tr>
      <w:tr w:rsidR="004A57C8" w:rsidRPr="004A57C8" w14:paraId="4FBAED0F" w14:textId="77777777" w:rsidTr="00EE11A3">
        <w:trPr>
          <w:trHeight w:val="1160"/>
        </w:trPr>
        <w:tc>
          <w:tcPr>
            <w:tcW w:w="700" w:type="dxa"/>
            <w:gridSpan w:val="2"/>
          </w:tcPr>
          <w:p w14:paraId="3CF8638F" w14:textId="74560D78" w:rsidR="004A57C8" w:rsidRDefault="004A57C8" w:rsidP="004D42A5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2838" w:type="dxa"/>
            <w:tcBorders>
              <w:left w:val="single" w:sz="4" w:space="0" w:color="000000"/>
            </w:tcBorders>
            <w:shd w:val="clear" w:color="auto" w:fill="auto"/>
          </w:tcPr>
          <w:p w14:paraId="29168DE6" w14:textId="77777777" w:rsidR="004A57C8" w:rsidRPr="004A57C8" w:rsidRDefault="004A57C8" w:rsidP="004A57C8">
            <w:pPr>
              <w:pStyle w:val="p42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Ion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AmpliSeq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>™ SARS‐CoV‐2</w:t>
            </w:r>
          </w:p>
          <w:p w14:paraId="614E88D2" w14:textId="77777777" w:rsidR="004A57C8" w:rsidRPr="004A57C8" w:rsidRDefault="004A57C8" w:rsidP="004A57C8">
            <w:pPr>
              <w:pStyle w:val="p42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Insight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Research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Assay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 ‐ GS</w:t>
            </w:r>
          </w:p>
          <w:p w14:paraId="1CE3B915" w14:textId="77777777" w:rsidR="004A57C8" w:rsidRPr="004A57C8" w:rsidRDefault="004A57C8" w:rsidP="004A57C8">
            <w:pPr>
              <w:pStyle w:val="p42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Manual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 (A51305)</w:t>
            </w:r>
          </w:p>
          <w:p w14:paraId="67401778" w14:textId="77777777" w:rsidR="004A57C8" w:rsidRPr="004A57C8" w:rsidRDefault="004A57C8" w:rsidP="004A57C8">
            <w:pPr>
              <w:pStyle w:val="p42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4A57C8">
              <w:rPr>
                <w:rFonts w:ascii="Times New Roman" w:hAnsi="Times New Roman" w:cs="Times New Roman"/>
                <w:lang w:val="uk-UA"/>
              </w:rPr>
              <w:t xml:space="preserve">+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Ion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AmpliSeq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™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Library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Kit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 Plus</w:t>
            </w:r>
          </w:p>
          <w:p w14:paraId="221BBC15" w14:textId="20D14351" w:rsidR="004A57C8" w:rsidRPr="00C30A54" w:rsidRDefault="004A57C8" w:rsidP="004A57C8">
            <w:pPr>
              <w:pStyle w:val="p42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4A57C8">
              <w:rPr>
                <w:rFonts w:ascii="Times New Roman" w:hAnsi="Times New Roman" w:cs="Times New Roman"/>
                <w:lang w:val="uk-UA"/>
              </w:rPr>
              <w:t xml:space="preserve">(96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reactions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84D3" w14:textId="77777777" w:rsidR="004A57C8" w:rsidRPr="004A57C8" w:rsidRDefault="004A57C8" w:rsidP="004A57C8">
            <w:pPr>
              <w:rPr>
                <w:bCs/>
                <w:lang w:val="uk-UA" w:eastAsia="ru-RU"/>
              </w:rPr>
            </w:pPr>
            <w:r w:rsidRPr="004A57C8">
              <w:rPr>
                <w:bCs/>
                <w:lang w:val="uk-UA" w:eastAsia="ru-RU"/>
              </w:rPr>
              <w:t xml:space="preserve">Для використання з платформою </w:t>
            </w:r>
            <w:proofErr w:type="spellStart"/>
            <w:r w:rsidRPr="004A57C8">
              <w:rPr>
                <w:bCs/>
                <w:lang w:val="uk-UA" w:eastAsia="ru-RU"/>
              </w:rPr>
              <w:t>Ion</w:t>
            </w:r>
            <w:proofErr w:type="spellEnd"/>
            <w:r w:rsidRPr="004A57C8">
              <w:rPr>
                <w:bCs/>
                <w:lang w:val="uk-UA" w:eastAsia="ru-RU"/>
              </w:rPr>
              <w:t xml:space="preserve"> </w:t>
            </w:r>
            <w:proofErr w:type="spellStart"/>
            <w:r w:rsidRPr="004A57C8">
              <w:rPr>
                <w:bCs/>
                <w:lang w:val="uk-UA" w:eastAsia="ru-RU"/>
              </w:rPr>
              <w:t>GenStudion</w:t>
            </w:r>
            <w:proofErr w:type="spellEnd"/>
            <w:r w:rsidRPr="004A57C8">
              <w:rPr>
                <w:bCs/>
                <w:lang w:val="uk-UA" w:eastAsia="ru-RU"/>
              </w:rPr>
              <w:t xml:space="preserve"> S5 NGS</w:t>
            </w:r>
          </w:p>
          <w:p w14:paraId="6D936B24" w14:textId="77777777" w:rsidR="004A57C8" w:rsidRPr="004A57C8" w:rsidRDefault="004A57C8" w:rsidP="004A57C8">
            <w:pPr>
              <w:rPr>
                <w:bCs/>
                <w:lang w:val="uk-UA" w:eastAsia="ru-RU"/>
              </w:rPr>
            </w:pPr>
            <w:r w:rsidRPr="004A57C8">
              <w:rPr>
                <w:bCs/>
                <w:lang w:val="uk-UA" w:eastAsia="ru-RU"/>
              </w:rPr>
              <w:t xml:space="preserve">− Панель для повного </w:t>
            </w:r>
            <w:proofErr w:type="spellStart"/>
            <w:r w:rsidRPr="004A57C8">
              <w:rPr>
                <w:bCs/>
                <w:lang w:val="uk-UA" w:eastAsia="ru-RU"/>
              </w:rPr>
              <w:t>секвенування</w:t>
            </w:r>
            <w:proofErr w:type="spellEnd"/>
            <w:r w:rsidRPr="004A57C8">
              <w:rPr>
                <w:bCs/>
                <w:lang w:val="uk-UA" w:eastAsia="ru-RU"/>
              </w:rPr>
              <w:t xml:space="preserve"> </w:t>
            </w:r>
            <w:proofErr w:type="spellStart"/>
            <w:r w:rsidRPr="004A57C8">
              <w:rPr>
                <w:bCs/>
                <w:lang w:val="uk-UA" w:eastAsia="ru-RU"/>
              </w:rPr>
              <w:t>генома</w:t>
            </w:r>
            <w:proofErr w:type="spellEnd"/>
            <w:r w:rsidRPr="004A57C8">
              <w:rPr>
                <w:bCs/>
                <w:lang w:val="uk-UA" w:eastAsia="ru-RU"/>
              </w:rPr>
              <w:t xml:space="preserve"> SARS-CoV-2</w:t>
            </w:r>
          </w:p>
          <w:p w14:paraId="4B8231C6" w14:textId="77777777" w:rsidR="004A57C8" w:rsidRPr="004A57C8" w:rsidRDefault="004A57C8" w:rsidP="004A57C8">
            <w:pPr>
              <w:rPr>
                <w:bCs/>
                <w:lang w:val="uk-UA" w:eastAsia="ru-RU"/>
              </w:rPr>
            </w:pPr>
            <w:r w:rsidRPr="004A57C8">
              <w:rPr>
                <w:bCs/>
                <w:lang w:val="uk-UA" w:eastAsia="ru-RU"/>
              </w:rPr>
              <w:t>− Кількість реакцій: 96</w:t>
            </w:r>
          </w:p>
          <w:p w14:paraId="647700E3" w14:textId="5CBC4FC5" w:rsidR="004A57C8" w:rsidRPr="00C30A54" w:rsidRDefault="004A57C8" w:rsidP="004A57C8">
            <w:pPr>
              <w:rPr>
                <w:bCs/>
                <w:lang w:val="uk-UA" w:eastAsia="ru-RU"/>
              </w:rPr>
            </w:pPr>
            <w:r w:rsidRPr="004A57C8">
              <w:rPr>
                <w:bCs/>
                <w:lang w:val="uk-UA" w:eastAsia="ru-RU"/>
              </w:rPr>
              <w:t xml:space="preserve">− Містить 2 пробірки з </w:t>
            </w:r>
            <w:proofErr w:type="spellStart"/>
            <w:r w:rsidRPr="004A57C8">
              <w:rPr>
                <w:bCs/>
                <w:lang w:val="uk-UA" w:eastAsia="ru-RU"/>
              </w:rPr>
              <w:t>ампліконами</w:t>
            </w:r>
            <w:proofErr w:type="spellEnd"/>
          </w:p>
        </w:tc>
        <w:tc>
          <w:tcPr>
            <w:tcW w:w="1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B25EE" w14:textId="1B6A318F" w:rsidR="004A57C8" w:rsidRPr="00840112" w:rsidRDefault="00840112" w:rsidP="00E470D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  <w:tr w:rsidR="002856E4" w:rsidRPr="004A57C8" w14:paraId="173146FE" w14:textId="77777777" w:rsidTr="00EE11A3">
        <w:trPr>
          <w:trHeight w:val="1160"/>
        </w:trPr>
        <w:tc>
          <w:tcPr>
            <w:tcW w:w="700" w:type="dxa"/>
            <w:gridSpan w:val="2"/>
          </w:tcPr>
          <w:p w14:paraId="7DD224B4" w14:textId="75935554" w:rsidR="002856E4" w:rsidRDefault="004D42A5" w:rsidP="004D42A5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2838" w:type="dxa"/>
            <w:tcBorders>
              <w:left w:val="single" w:sz="4" w:space="0" w:color="000000"/>
            </w:tcBorders>
            <w:shd w:val="clear" w:color="auto" w:fill="auto"/>
          </w:tcPr>
          <w:p w14:paraId="7EED4849" w14:textId="77777777" w:rsidR="002856E4" w:rsidRPr="002856E4" w:rsidRDefault="002856E4" w:rsidP="002856E4">
            <w:pPr>
              <w:pStyle w:val="p42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Template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preparation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</w:p>
          <w:p w14:paraId="6FFB18F2" w14:textId="77777777" w:rsidR="002856E4" w:rsidRPr="002856E4" w:rsidRDefault="002856E4" w:rsidP="002856E4">
            <w:pPr>
              <w:pStyle w:val="p42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sequencing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reagents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Ion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 520™ &amp;</w:t>
            </w:r>
          </w:p>
          <w:p w14:paraId="01D71BD5" w14:textId="0EF8E2A5" w:rsidR="002856E4" w:rsidRPr="004A57C8" w:rsidRDefault="002856E4" w:rsidP="002856E4">
            <w:pPr>
              <w:pStyle w:val="p42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Ion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 530™ Kit‐OT2 (A27751)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E2E8" w14:textId="77777777" w:rsidR="002856E4" w:rsidRPr="002856E4" w:rsidRDefault="002856E4" w:rsidP="002856E4">
            <w:pPr>
              <w:rPr>
                <w:bCs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 xml:space="preserve">Для використання з платформою </w:t>
            </w:r>
            <w:proofErr w:type="spellStart"/>
            <w:r w:rsidRPr="002856E4">
              <w:rPr>
                <w:bCs/>
                <w:lang w:val="uk-UA" w:eastAsia="ru-RU"/>
              </w:rPr>
              <w:t>Ion</w:t>
            </w:r>
            <w:proofErr w:type="spellEnd"/>
            <w:r w:rsidRPr="002856E4">
              <w:rPr>
                <w:bCs/>
                <w:lang w:val="uk-UA" w:eastAsia="ru-RU"/>
              </w:rPr>
              <w:t xml:space="preserve"> </w:t>
            </w:r>
            <w:proofErr w:type="spellStart"/>
            <w:r w:rsidRPr="002856E4">
              <w:rPr>
                <w:bCs/>
                <w:lang w:val="uk-UA" w:eastAsia="ru-RU"/>
              </w:rPr>
              <w:t>GenStudion</w:t>
            </w:r>
            <w:proofErr w:type="spellEnd"/>
            <w:r w:rsidRPr="002856E4">
              <w:rPr>
                <w:bCs/>
                <w:lang w:val="uk-UA" w:eastAsia="ru-RU"/>
              </w:rPr>
              <w:t xml:space="preserve"> S5 NGS</w:t>
            </w:r>
          </w:p>
          <w:p w14:paraId="3643A2C4" w14:textId="77777777" w:rsidR="002856E4" w:rsidRPr="002856E4" w:rsidRDefault="002856E4" w:rsidP="002856E4">
            <w:pPr>
              <w:rPr>
                <w:bCs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>− Набір реагентів розрахований на повну</w:t>
            </w:r>
          </w:p>
          <w:p w14:paraId="5BC813CA" w14:textId="77777777" w:rsidR="002856E4" w:rsidRPr="002856E4" w:rsidRDefault="002856E4" w:rsidP="002856E4">
            <w:pPr>
              <w:rPr>
                <w:bCs/>
                <w:lang w:val="uk-UA" w:eastAsia="ru-RU"/>
              </w:rPr>
            </w:pPr>
            <w:proofErr w:type="spellStart"/>
            <w:r w:rsidRPr="002856E4">
              <w:rPr>
                <w:bCs/>
                <w:lang w:val="uk-UA" w:eastAsia="ru-RU"/>
              </w:rPr>
              <w:t>секвенування</w:t>
            </w:r>
            <w:proofErr w:type="spellEnd"/>
            <w:r w:rsidRPr="002856E4">
              <w:rPr>
                <w:bCs/>
                <w:lang w:val="uk-UA" w:eastAsia="ru-RU"/>
              </w:rPr>
              <w:t xml:space="preserve"> </w:t>
            </w:r>
            <w:proofErr w:type="spellStart"/>
            <w:r w:rsidRPr="002856E4">
              <w:rPr>
                <w:bCs/>
                <w:lang w:val="uk-UA" w:eastAsia="ru-RU"/>
              </w:rPr>
              <w:t>геному</w:t>
            </w:r>
            <w:proofErr w:type="spellEnd"/>
          </w:p>
          <w:p w14:paraId="25AC1D60" w14:textId="77777777" w:rsidR="002856E4" w:rsidRPr="002856E4" w:rsidRDefault="002856E4" w:rsidP="002856E4">
            <w:pPr>
              <w:rPr>
                <w:bCs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>− Кількість реакцій: 8</w:t>
            </w:r>
          </w:p>
          <w:p w14:paraId="34537965" w14:textId="56EFC26B" w:rsidR="002856E4" w:rsidRPr="004A57C8" w:rsidRDefault="002856E4" w:rsidP="002856E4">
            <w:pPr>
              <w:rPr>
                <w:bCs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>− Реагенти поставляються в готових до використання картриджах</w:t>
            </w:r>
          </w:p>
        </w:tc>
        <w:tc>
          <w:tcPr>
            <w:tcW w:w="1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E852" w14:textId="41E18DAA" w:rsidR="002856E4" w:rsidRPr="00840112" w:rsidRDefault="00840112" w:rsidP="00E470D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  <w:tr w:rsidR="002856E4" w:rsidRPr="002856E4" w14:paraId="167CCBA1" w14:textId="77777777" w:rsidTr="00EE11A3">
        <w:trPr>
          <w:trHeight w:val="1160"/>
        </w:trPr>
        <w:tc>
          <w:tcPr>
            <w:tcW w:w="700" w:type="dxa"/>
            <w:gridSpan w:val="2"/>
          </w:tcPr>
          <w:p w14:paraId="5E640052" w14:textId="0C1E203F" w:rsidR="002856E4" w:rsidRDefault="004D42A5" w:rsidP="004D42A5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2838" w:type="dxa"/>
            <w:tcBorders>
              <w:left w:val="single" w:sz="4" w:space="0" w:color="000000"/>
            </w:tcBorders>
            <w:shd w:val="clear" w:color="auto" w:fill="auto"/>
          </w:tcPr>
          <w:p w14:paraId="4BF122CC" w14:textId="77777777" w:rsidR="002856E4" w:rsidRPr="002856E4" w:rsidRDefault="002856E4" w:rsidP="002856E4">
            <w:pPr>
              <w:pStyle w:val="p42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Ion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 530™ </w:t>
            </w: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Chip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Kit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, 8 </w:t>
            </w: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chips</w:t>
            </w:r>
            <w:proofErr w:type="spellEnd"/>
          </w:p>
          <w:p w14:paraId="3D6D25CD" w14:textId="7CD0C426" w:rsidR="002856E4" w:rsidRPr="002856E4" w:rsidRDefault="002856E4" w:rsidP="002856E4">
            <w:pPr>
              <w:pStyle w:val="p42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56E4">
              <w:rPr>
                <w:rFonts w:ascii="Times New Roman" w:hAnsi="Times New Roman" w:cs="Times New Roman"/>
                <w:lang w:val="uk-UA"/>
              </w:rPr>
              <w:t>(A27764)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6F83" w14:textId="77777777" w:rsidR="002856E4" w:rsidRPr="002856E4" w:rsidRDefault="002856E4" w:rsidP="002856E4">
            <w:pPr>
              <w:rPr>
                <w:bCs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 xml:space="preserve">Для використання з платформою </w:t>
            </w:r>
            <w:proofErr w:type="spellStart"/>
            <w:r w:rsidRPr="002856E4">
              <w:rPr>
                <w:bCs/>
                <w:lang w:val="uk-UA" w:eastAsia="ru-RU"/>
              </w:rPr>
              <w:t>Ion</w:t>
            </w:r>
            <w:proofErr w:type="spellEnd"/>
            <w:r w:rsidRPr="002856E4">
              <w:rPr>
                <w:bCs/>
                <w:lang w:val="uk-UA" w:eastAsia="ru-RU"/>
              </w:rPr>
              <w:t xml:space="preserve"> </w:t>
            </w:r>
            <w:proofErr w:type="spellStart"/>
            <w:r w:rsidRPr="002856E4">
              <w:rPr>
                <w:bCs/>
                <w:lang w:val="uk-UA" w:eastAsia="ru-RU"/>
              </w:rPr>
              <w:t>GeneStudio</w:t>
            </w:r>
            <w:proofErr w:type="spellEnd"/>
            <w:r w:rsidRPr="002856E4">
              <w:rPr>
                <w:bCs/>
                <w:lang w:val="uk-UA" w:eastAsia="ru-RU"/>
              </w:rPr>
              <w:t xml:space="preserve"> S5 NGS</w:t>
            </w:r>
          </w:p>
          <w:p w14:paraId="7EE6C835" w14:textId="77777777" w:rsidR="002856E4" w:rsidRPr="002856E4" w:rsidRDefault="002856E4" w:rsidP="002856E4">
            <w:pPr>
              <w:rPr>
                <w:bCs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 xml:space="preserve">− Набір чіпів для повного </w:t>
            </w:r>
            <w:proofErr w:type="spellStart"/>
            <w:r w:rsidRPr="002856E4">
              <w:rPr>
                <w:bCs/>
                <w:lang w:val="uk-UA" w:eastAsia="ru-RU"/>
              </w:rPr>
              <w:t>секвенування</w:t>
            </w:r>
            <w:proofErr w:type="spellEnd"/>
            <w:r w:rsidRPr="002856E4">
              <w:rPr>
                <w:bCs/>
                <w:lang w:val="uk-UA" w:eastAsia="ru-RU"/>
              </w:rPr>
              <w:t xml:space="preserve"> </w:t>
            </w:r>
            <w:proofErr w:type="spellStart"/>
            <w:r w:rsidRPr="002856E4">
              <w:rPr>
                <w:bCs/>
                <w:lang w:val="uk-UA" w:eastAsia="ru-RU"/>
              </w:rPr>
              <w:t>геному</w:t>
            </w:r>
            <w:proofErr w:type="spellEnd"/>
          </w:p>
          <w:p w14:paraId="1F500569" w14:textId="769B8E5D" w:rsidR="002856E4" w:rsidRPr="002856E4" w:rsidRDefault="002856E4" w:rsidP="002856E4">
            <w:pPr>
              <w:rPr>
                <w:b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>− Кількість: 8</w:t>
            </w:r>
          </w:p>
        </w:tc>
        <w:tc>
          <w:tcPr>
            <w:tcW w:w="1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621D" w14:textId="6FAABEC5" w:rsidR="002856E4" w:rsidRPr="00840112" w:rsidRDefault="00840112" w:rsidP="00E470D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  <w:tr w:rsidR="002856E4" w:rsidRPr="002856E4" w14:paraId="08236810" w14:textId="77777777" w:rsidTr="00EE11A3">
        <w:trPr>
          <w:trHeight w:val="1160"/>
        </w:trPr>
        <w:tc>
          <w:tcPr>
            <w:tcW w:w="700" w:type="dxa"/>
            <w:gridSpan w:val="2"/>
          </w:tcPr>
          <w:p w14:paraId="4A851816" w14:textId="095B7E21" w:rsidR="002856E4" w:rsidRDefault="004D42A5" w:rsidP="00E470D6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2838" w:type="dxa"/>
            <w:tcBorders>
              <w:left w:val="single" w:sz="4" w:space="0" w:color="000000"/>
            </w:tcBorders>
            <w:shd w:val="clear" w:color="auto" w:fill="auto"/>
          </w:tcPr>
          <w:p w14:paraId="6EF9E971" w14:textId="6DA86407" w:rsidR="002856E4" w:rsidRPr="002856E4" w:rsidRDefault="002856E4" w:rsidP="002856E4">
            <w:pPr>
              <w:autoSpaceDE w:val="0"/>
              <w:autoSpaceDN w:val="0"/>
              <w:adjustRightInd w:val="0"/>
            </w:pPr>
            <w:proofErr w:type="spellStart"/>
            <w:r w:rsidRPr="002856E4">
              <w:rPr>
                <w:lang w:val="uk-UA" w:eastAsia="ru-RU"/>
              </w:rPr>
              <w:t>Qubit</w:t>
            </w:r>
            <w:proofErr w:type="spellEnd"/>
            <w:r w:rsidRPr="002856E4">
              <w:rPr>
                <w:lang w:val="uk-UA" w:eastAsia="ru-RU"/>
              </w:rPr>
              <w:t xml:space="preserve">™ 1X </w:t>
            </w:r>
            <w:proofErr w:type="spellStart"/>
            <w:r w:rsidRPr="002856E4">
              <w:rPr>
                <w:lang w:val="uk-UA" w:eastAsia="ru-RU"/>
              </w:rPr>
              <w:t>dsDNA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Assay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Kits</w:t>
            </w:r>
            <w:proofErr w:type="spellEnd"/>
            <w:r w:rsidRPr="002856E4">
              <w:rPr>
                <w:lang w:val="uk-UA" w:eastAsia="ru-RU"/>
              </w:rPr>
              <w:t xml:space="preserve">, </w:t>
            </w:r>
            <w:proofErr w:type="spellStart"/>
            <w:r w:rsidRPr="002856E4">
              <w:rPr>
                <w:lang w:val="uk-UA" w:eastAsia="ru-RU"/>
              </w:rPr>
              <w:t>high</w:t>
            </w:r>
            <w:proofErr w:type="spellEnd"/>
            <w:r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sensitivity</w:t>
            </w:r>
            <w:proofErr w:type="spellEnd"/>
            <w:r w:rsidRPr="002856E4">
              <w:rPr>
                <w:lang w:val="uk-UA" w:eastAsia="ru-RU"/>
              </w:rPr>
              <w:t xml:space="preserve"> (HS) </w:t>
            </w:r>
            <w:proofErr w:type="spellStart"/>
            <w:r w:rsidRPr="002856E4">
              <w:rPr>
                <w:lang w:val="uk-UA" w:eastAsia="ru-RU"/>
              </w:rPr>
              <w:t>and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broad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range</w:t>
            </w:r>
            <w:proofErr w:type="spellEnd"/>
            <w:r>
              <w:rPr>
                <w:lang w:val="uk-UA" w:eastAsia="ru-RU"/>
              </w:rPr>
              <w:t xml:space="preserve"> </w:t>
            </w:r>
            <w:r w:rsidRPr="002856E4">
              <w:rPr>
                <w:lang w:val="uk-UA"/>
              </w:rPr>
              <w:t>(BR) (Q33231)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7FDF4" w14:textId="77777777" w:rsidR="002856E4" w:rsidRPr="002856E4" w:rsidRDefault="002856E4" w:rsidP="002856E4">
            <w:pPr>
              <w:rPr>
                <w:bCs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>Набір реагентів для вимірювання концентрації ДНК для аналізу NGS</w:t>
            </w:r>
          </w:p>
          <w:p w14:paraId="6086751F" w14:textId="77777777" w:rsidR="002856E4" w:rsidRPr="002856E4" w:rsidRDefault="002856E4" w:rsidP="002856E4">
            <w:pPr>
              <w:rPr>
                <w:bCs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 xml:space="preserve">− Діапазон концентрацій: 0,2–100 </w:t>
            </w:r>
            <w:proofErr w:type="spellStart"/>
            <w:r w:rsidRPr="002856E4">
              <w:rPr>
                <w:bCs/>
                <w:lang w:val="uk-UA" w:eastAsia="ru-RU"/>
              </w:rPr>
              <w:t>нг</w:t>
            </w:r>
            <w:proofErr w:type="spellEnd"/>
          </w:p>
          <w:p w14:paraId="047D9202" w14:textId="21480D4A" w:rsidR="002856E4" w:rsidRPr="002856E4" w:rsidRDefault="002856E4" w:rsidP="002856E4">
            <w:pPr>
              <w:rPr>
                <w:b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>− Кількість реакцій: 500</w:t>
            </w:r>
          </w:p>
        </w:tc>
        <w:tc>
          <w:tcPr>
            <w:tcW w:w="1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173D" w14:textId="056FC2A0" w:rsidR="002856E4" w:rsidRPr="00840112" w:rsidRDefault="00840112" w:rsidP="00E470D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  <w:tr w:rsidR="002856E4" w:rsidRPr="002856E4" w14:paraId="774D84C8" w14:textId="77777777" w:rsidTr="00EE11A3">
        <w:trPr>
          <w:trHeight w:val="1160"/>
        </w:trPr>
        <w:tc>
          <w:tcPr>
            <w:tcW w:w="700" w:type="dxa"/>
            <w:gridSpan w:val="2"/>
          </w:tcPr>
          <w:p w14:paraId="4FB645F8" w14:textId="749B3F0D" w:rsidR="002856E4" w:rsidRDefault="004D42A5" w:rsidP="00E470D6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3.5.</w:t>
            </w:r>
          </w:p>
        </w:tc>
        <w:tc>
          <w:tcPr>
            <w:tcW w:w="2838" w:type="dxa"/>
            <w:tcBorders>
              <w:left w:val="single" w:sz="4" w:space="0" w:color="000000"/>
            </w:tcBorders>
            <w:shd w:val="clear" w:color="auto" w:fill="auto"/>
          </w:tcPr>
          <w:p w14:paraId="6A764E8A" w14:textId="77777777" w:rsidR="002856E4" w:rsidRPr="002856E4" w:rsidRDefault="002856E4" w:rsidP="002856E4">
            <w:pPr>
              <w:autoSpaceDE w:val="0"/>
              <w:autoSpaceDN w:val="0"/>
              <w:adjustRightInd w:val="0"/>
              <w:rPr>
                <w:lang w:val="uk-UA" w:eastAsia="ru-RU"/>
              </w:rPr>
            </w:pPr>
            <w:proofErr w:type="spellStart"/>
            <w:r w:rsidRPr="002856E4">
              <w:rPr>
                <w:lang w:val="uk-UA" w:eastAsia="ru-RU"/>
              </w:rPr>
              <w:t>Thin‐walled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polypropylene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tubes</w:t>
            </w:r>
            <w:proofErr w:type="spellEnd"/>
          </w:p>
          <w:p w14:paraId="57B00456" w14:textId="77777777" w:rsidR="002856E4" w:rsidRPr="002856E4" w:rsidRDefault="002856E4" w:rsidP="002856E4">
            <w:pPr>
              <w:autoSpaceDE w:val="0"/>
              <w:autoSpaceDN w:val="0"/>
              <w:adjustRightInd w:val="0"/>
              <w:rPr>
                <w:lang w:val="uk-UA" w:eastAsia="ru-RU"/>
              </w:rPr>
            </w:pPr>
            <w:proofErr w:type="spellStart"/>
            <w:r w:rsidRPr="002856E4">
              <w:rPr>
                <w:lang w:val="uk-UA" w:eastAsia="ru-RU"/>
              </w:rPr>
              <w:t>with</w:t>
            </w:r>
            <w:proofErr w:type="spellEnd"/>
            <w:r w:rsidRPr="002856E4">
              <w:rPr>
                <w:lang w:val="uk-UA" w:eastAsia="ru-RU"/>
              </w:rPr>
              <w:t xml:space="preserve"> a </w:t>
            </w:r>
            <w:proofErr w:type="spellStart"/>
            <w:r w:rsidRPr="002856E4">
              <w:rPr>
                <w:lang w:val="uk-UA" w:eastAsia="ru-RU"/>
              </w:rPr>
              <w:t>volume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of</w:t>
            </w:r>
            <w:proofErr w:type="spellEnd"/>
            <w:r w:rsidRPr="002856E4">
              <w:rPr>
                <w:lang w:val="uk-UA" w:eastAsia="ru-RU"/>
              </w:rPr>
              <w:t xml:space="preserve"> 500 </w:t>
            </w:r>
            <w:proofErr w:type="spellStart"/>
            <w:r w:rsidRPr="002856E4">
              <w:rPr>
                <w:lang w:val="uk-UA" w:eastAsia="ru-RU"/>
              </w:rPr>
              <w:t>μl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Qubit</w:t>
            </w:r>
            <w:proofErr w:type="spellEnd"/>
            <w:r w:rsidRPr="002856E4">
              <w:rPr>
                <w:lang w:val="uk-UA" w:eastAsia="ru-RU"/>
              </w:rPr>
              <w:t>™</w:t>
            </w:r>
          </w:p>
          <w:p w14:paraId="1EA71815" w14:textId="16A328EB" w:rsidR="002856E4" w:rsidRPr="002856E4" w:rsidRDefault="002856E4" w:rsidP="002856E4">
            <w:pPr>
              <w:autoSpaceDE w:val="0"/>
              <w:autoSpaceDN w:val="0"/>
              <w:adjustRightInd w:val="0"/>
              <w:rPr>
                <w:lang w:val="uk-UA" w:eastAsia="ru-RU"/>
              </w:rPr>
            </w:pPr>
            <w:proofErr w:type="spellStart"/>
            <w:r w:rsidRPr="002856E4">
              <w:rPr>
                <w:lang w:val="uk-UA" w:eastAsia="ru-RU"/>
              </w:rPr>
              <w:t>Assay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Tubes</w:t>
            </w:r>
            <w:proofErr w:type="spellEnd"/>
            <w:r w:rsidRPr="002856E4">
              <w:rPr>
                <w:lang w:val="uk-UA" w:eastAsia="ru-RU"/>
              </w:rPr>
              <w:t xml:space="preserve"> (Q32856)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68CB" w14:textId="77777777" w:rsidR="002856E4" w:rsidRPr="002856E4" w:rsidRDefault="002856E4" w:rsidP="002856E4">
            <w:pPr>
              <w:rPr>
                <w:bCs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 xml:space="preserve">Тонкостінні поліпропіленові пробірки об’ємом 500 </w:t>
            </w:r>
            <w:proofErr w:type="spellStart"/>
            <w:r w:rsidRPr="002856E4">
              <w:rPr>
                <w:bCs/>
                <w:lang w:val="uk-UA" w:eastAsia="ru-RU"/>
              </w:rPr>
              <w:t>мкл</w:t>
            </w:r>
            <w:proofErr w:type="spellEnd"/>
            <w:r w:rsidRPr="002856E4">
              <w:rPr>
                <w:bCs/>
                <w:lang w:val="uk-UA" w:eastAsia="ru-RU"/>
              </w:rPr>
              <w:t xml:space="preserve">, сумісні з флуорометром </w:t>
            </w:r>
            <w:proofErr w:type="spellStart"/>
            <w:r w:rsidRPr="002856E4">
              <w:rPr>
                <w:bCs/>
                <w:lang w:val="uk-UA" w:eastAsia="ru-RU"/>
              </w:rPr>
              <w:t>Qubit</w:t>
            </w:r>
            <w:proofErr w:type="spellEnd"/>
          </w:p>
          <w:p w14:paraId="0F7B1EE6" w14:textId="77777777" w:rsidR="002856E4" w:rsidRPr="002856E4" w:rsidRDefault="002856E4" w:rsidP="002856E4">
            <w:pPr>
              <w:rPr>
                <w:bCs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 xml:space="preserve">− пробірки для кількісного аналізу </w:t>
            </w:r>
            <w:proofErr w:type="spellStart"/>
            <w:r w:rsidRPr="002856E4">
              <w:rPr>
                <w:bCs/>
                <w:lang w:val="uk-UA" w:eastAsia="ru-RU"/>
              </w:rPr>
              <w:t>кДНК</w:t>
            </w:r>
            <w:proofErr w:type="spellEnd"/>
            <w:r w:rsidRPr="002856E4">
              <w:rPr>
                <w:bCs/>
                <w:lang w:val="uk-UA" w:eastAsia="ru-RU"/>
              </w:rPr>
              <w:t>;</w:t>
            </w:r>
          </w:p>
          <w:p w14:paraId="0B53A111" w14:textId="0585005E" w:rsidR="002856E4" w:rsidRPr="002856E4" w:rsidRDefault="002856E4" w:rsidP="002856E4">
            <w:pPr>
              <w:rPr>
                <w:bCs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 xml:space="preserve">− Кількість: 500 </w:t>
            </w:r>
            <w:r>
              <w:rPr>
                <w:bCs/>
                <w:lang w:val="uk-UA" w:eastAsia="ru-RU"/>
              </w:rPr>
              <w:t>пробірок</w:t>
            </w:r>
          </w:p>
        </w:tc>
        <w:tc>
          <w:tcPr>
            <w:tcW w:w="1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6CEF0" w14:textId="55DBD624" w:rsidR="002856E4" w:rsidRPr="00840112" w:rsidRDefault="00840112" w:rsidP="00E470D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  <w:tr w:rsidR="002856E4" w:rsidRPr="002856E4" w14:paraId="146E291A" w14:textId="77777777" w:rsidTr="00EE11A3">
        <w:trPr>
          <w:trHeight w:val="1160"/>
        </w:trPr>
        <w:tc>
          <w:tcPr>
            <w:tcW w:w="700" w:type="dxa"/>
            <w:gridSpan w:val="2"/>
          </w:tcPr>
          <w:p w14:paraId="3DB221AE" w14:textId="12717F01" w:rsidR="002856E4" w:rsidRDefault="004D42A5" w:rsidP="00E470D6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3.6</w:t>
            </w:r>
          </w:p>
        </w:tc>
        <w:tc>
          <w:tcPr>
            <w:tcW w:w="2838" w:type="dxa"/>
            <w:tcBorders>
              <w:left w:val="single" w:sz="4" w:space="0" w:color="000000"/>
            </w:tcBorders>
            <w:shd w:val="clear" w:color="auto" w:fill="auto"/>
          </w:tcPr>
          <w:p w14:paraId="75C2D3A5" w14:textId="182571D8" w:rsidR="002856E4" w:rsidRPr="002856E4" w:rsidRDefault="002856E4" w:rsidP="002856E4">
            <w:pPr>
              <w:autoSpaceDE w:val="0"/>
              <w:autoSpaceDN w:val="0"/>
              <w:adjustRightInd w:val="0"/>
              <w:rPr>
                <w:lang w:val="uk-UA" w:eastAsia="ru-RU"/>
              </w:rPr>
            </w:pPr>
            <w:r w:rsidRPr="002856E4">
              <w:rPr>
                <w:lang w:val="uk-UA" w:eastAsia="ru-RU"/>
              </w:rPr>
              <w:t>IONCODE</w:t>
            </w:r>
            <w:r>
              <w:rPr>
                <w:lang w:val="uk-UA" w:eastAsia="ru-RU"/>
              </w:rPr>
              <w:t xml:space="preserve"> </w:t>
            </w:r>
            <w:r w:rsidRPr="002856E4">
              <w:rPr>
                <w:lang w:val="uk-UA" w:eastAsia="ru-RU"/>
              </w:rPr>
              <w:t>ADAPTER KIT, 0501‐0596, 1‐96</w:t>
            </w:r>
            <w:r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Kit</w:t>
            </w:r>
            <w:proofErr w:type="spellEnd"/>
            <w:r w:rsidRPr="002856E4">
              <w:rPr>
                <w:lang w:val="uk-UA" w:eastAsia="ru-RU"/>
              </w:rPr>
              <w:t xml:space="preserve">, 960 </w:t>
            </w:r>
            <w:proofErr w:type="spellStart"/>
            <w:r w:rsidRPr="002856E4">
              <w:rPr>
                <w:lang w:val="uk-UA" w:eastAsia="ru-RU"/>
              </w:rPr>
              <w:t>reactions</w:t>
            </w:r>
            <w:proofErr w:type="spellEnd"/>
            <w:r w:rsidRPr="002856E4">
              <w:rPr>
                <w:lang w:val="uk-UA" w:eastAsia="ru-RU"/>
              </w:rPr>
              <w:t xml:space="preserve"> (A36524)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246BC" w14:textId="77777777" w:rsidR="002856E4" w:rsidRPr="002856E4" w:rsidRDefault="002856E4" w:rsidP="002856E4">
            <w:pPr>
              <w:rPr>
                <w:bCs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 xml:space="preserve">− Для використання з платформою </w:t>
            </w:r>
            <w:proofErr w:type="spellStart"/>
            <w:r w:rsidRPr="002856E4">
              <w:rPr>
                <w:bCs/>
                <w:lang w:val="uk-UA" w:eastAsia="ru-RU"/>
              </w:rPr>
              <w:t>Ion</w:t>
            </w:r>
            <w:proofErr w:type="spellEnd"/>
            <w:r w:rsidRPr="002856E4">
              <w:rPr>
                <w:bCs/>
                <w:lang w:val="uk-UA" w:eastAsia="ru-RU"/>
              </w:rPr>
              <w:t xml:space="preserve"> </w:t>
            </w:r>
            <w:proofErr w:type="spellStart"/>
            <w:r w:rsidRPr="002856E4">
              <w:rPr>
                <w:bCs/>
                <w:lang w:val="uk-UA" w:eastAsia="ru-RU"/>
              </w:rPr>
              <w:t>GenStudion</w:t>
            </w:r>
            <w:proofErr w:type="spellEnd"/>
            <w:r w:rsidRPr="002856E4">
              <w:rPr>
                <w:bCs/>
                <w:lang w:val="uk-UA" w:eastAsia="ru-RU"/>
              </w:rPr>
              <w:t xml:space="preserve"> S5 NGS</w:t>
            </w:r>
          </w:p>
          <w:p w14:paraId="31A64B56" w14:textId="71BC8380" w:rsidR="002856E4" w:rsidRPr="002856E4" w:rsidRDefault="002856E4" w:rsidP="002856E4">
            <w:pPr>
              <w:rPr>
                <w:bCs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>− Дозволяє мультиплексування 96 зразків бібліотеки фрагментів на єдиний чіп секвенування з використанням надійних молекулярних штрих-кодів;</w:t>
            </w:r>
          </w:p>
          <w:p w14:paraId="4E3E4D10" w14:textId="3511F800" w:rsidR="002856E4" w:rsidRPr="002856E4" w:rsidRDefault="002856E4" w:rsidP="002856E4">
            <w:pPr>
              <w:rPr>
                <w:bCs/>
                <w:lang w:val="uk-UA" w:eastAsia="ru-RU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F3CD9" w14:textId="4B55F23C" w:rsidR="002856E4" w:rsidRPr="00840112" w:rsidRDefault="00840112" w:rsidP="00E470D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  <w:tr w:rsidR="002856E4" w:rsidRPr="002856E4" w14:paraId="5086C9C5" w14:textId="77777777" w:rsidTr="00EE11A3">
        <w:trPr>
          <w:trHeight w:val="1160"/>
        </w:trPr>
        <w:tc>
          <w:tcPr>
            <w:tcW w:w="700" w:type="dxa"/>
            <w:gridSpan w:val="2"/>
          </w:tcPr>
          <w:p w14:paraId="0195B9F8" w14:textId="7E78AF92" w:rsidR="002856E4" w:rsidRDefault="004D42A5" w:rsidP="00E470D6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3.7</w:t>
            </w:r>
          </w:p>
        </w:tc>
        <w:tc>
          <w:tcPr>
            <w:tcW w:w="2838" w:type="dxa"/>
            <w:tcBorders>
              <w:left w:val="single" w:sz="4" w:space="0" w:color="000000"/>
            </w:tcBorders>
            <w:shd w:val="clear" w:color="auto" w:fill="auto"/>
          </w:tcPr>
          <w:p w14:paraId="13E78C3A" w14:textId="77777777" w:rsidR="002856E4" w:rsidRPr="002856E4" w:rsidRDefault="002856E4" w:rsidP="002856E4">
            <w:pPr>
              <w:autoSpaceDE w:val="0"/>
              <w:autoSpaceDN w:val="0"/>
              <w:adjustRightInd w:val="0"/>
              <w:rPr>
                <w:lang w:val="uk-UA" w:eastAsia="ru-RU"/>
              </w:rPr>
            </w:pPr>
            <w:r w:rsidRPr="002856E4">
              <w:rPr>
                <w:lang w:val="uk-UA" w:eastAsia="ru-RU"/>
              </w:rPr>
              <w:t xml:space="preserve">NGS </w:t>
            </w:r>
            <w:proofErr w:type="spellStart"/>
            <w:r w:rsidRPr="002856E4">
              <w:rPr>
                <w:lang w:val="uk-UA" w:eastAsia="ru-RU"/>
              </w:rPr>
              <w:t>Reverse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Transcription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Kit</w:t>
            </w:r>
            <w:proofErr w:type="spellEnd"/>
          </w:p>
          <w:p w14:paraId="680C2047" w14:textId="34FB5B12" w:rsidR="002856E4" w:rsidRPr="002856E4" w:rsidRDefault="002856E4" w:rsidP="002856E4">
            <w:pPr>
              <w:autoSpaceDE w:val="0"/>
              <w:autoSpaceDN w:val="0"/>
              <w:adjustRightInd w:val="0"/>
              <w:rPr>
                <w:lang w:val="uk-UA" w:eastAsia="ru-RU"/>
              </w:rPr>
            </w:pPr>
            <w:r w:rsidRPr="002856E4">
              <w:rPr>
                <w:lang w:val="uk-UA" w:eastAsia="ru-RU"/>
              </w:rPr>
              <w:t>(A45003)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93DD" w14:textId="77777777" w:rsidR="002856E4" w:rsidRPr="002856E4" w:rsidRDefault="002856E4" w:rsidP="002856E4">
            <w:pPr>
              <w:rPr>
                <w:bCs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>− Набір реагентів призначений для проведення реакції зворотної транскрипції;</w:t>
            </w:r>
          </w:p>
          <w:p w14:paraId="2B4246A0" w14:textId="77777777" w:rsidR="002856E4" w:rsidRPr="002856E4" w:rsidRDefault="002856E4" w:rsidP="002856E4">
            <w:pPr>
              <w:rPr>
                <w:bCs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>− Набір, оптимізований для різноманітних типів зразків, включаючи FFPE, зразки зі зниженими характеристиками та зразки з низькою кількістю шаблону;</w:t>
            </w:r>
          </w:p>
          <w:p w14:paraId="289C2A97" w14:textId="77777777" w:rsidR="002856E4" w:rsidRPr="002856E4" w:rsidRDefault="002856E4" w:rsidP="002856E4">
            <w:pPr>
              <w:rPr>
                <w:bCs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t>− Кількість реакцій: 32;</w:t>
            </w:r>
          </w:p>
          <w:p w14:paraId="343F450C" w14:textId="0A1A9AC1" w:rsidR="002856E4" w:rsidRPr="002856E4" w:rsidRDefault="002856E4" w:rsidP="002856E4">
            <w:pPr>
              <w:rPr>
                <w:bCs/>
                <w:lang w:val="uk-UA" w:eastAsia="ru-RU"/>
              </w:rPr>
            </w:pPr>
            <w:r w:rsidRPr="002856E4">
              <w:rPr>
                <w:bCs/>
                <w:lang w:val="uk-UA" w:eastAsia="ru-RU"/>
              </w:rPr>
              <w:lastRenderedPageBreak/>
              <w:t xml:space="preserve">− Надійна технологія </w:t>
            </w:r>
            <w:proofErr w:type="spellStart"/>
            <w:r w:rsidRPr="002856E4">
              <w:rPr>
                <w:bCs/>
                <w:lang w:val="uk-UA" w:eastAsia="ru-RU"/>
              </w:rPr>
              <w:t>SuperScript</w:t>
            </w:r>
            <w:proofErr w:type="spellEnd"/>
            <w:r w:rsidRPr="002856E4">
              <w:rPr>
                <w:bCs/>
                <w:lang w:val="uk-UA" w:eastAsia="ru-RU"/>
              </w:rPr>
              <w:t xml:space="preserve"> IV RT забезпечує чудову продуктивність синтезу </w:t>
            </w:r>
            <w:proofErr w:type="spellStart"/>
            <w:r w:rsidRPr="002856E4">
              <w:rPr>
                <w:bCs/>
                <w:lang w:val="uk-UA" w:eastAsia="ru-RU"/>
              </w:rPr>
              <w:t>кДНК</w:t>
            </w:r>
            <w:proofErr w:type="spellEnd"/>
            <w:r w:rsidRPr="002856E4">
              <w:rPr>
                <w:bCs/>
                <w:lang w:val="uk-UA" w:eastAsia="ru-RU"/>
              </w:rPr>
              <w:t xml:space="preserve"> навіть у найскладніших умовах.</w:t>
            </w:r>
          </w:p>
        </w:tc>
        <w:tc>
          <w:tcPr>
            <w:tcW w:w="1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A8F5" w14:textId="6D1D4161" w:rsidR="002856E4" w:rsidRPr="00840112" w:rsidRDefault="00840112" w:rsidP="00E470D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6</w:t>
            </w:r>
          </w:p>
        </w:tc>
      </w:tr>
      <w:tr w:rsidR="00A16146" w:rsidRPr="002856E4" w14:paraId="31BF2940" w14:textId="77777777" w:rsidTr="00EE11A3">
        <w:trPr>
          <w:trHeight w:val="1160"/>
        </w:trPr>
        <w:tc>
          <w:tcPr>
            <w:tcW w:w="700" w:type="dxa"/>
            <w:gridSpan w:val="2"/>
          </w:tcPr>
          <w:p w14:paraId="11927B5D" w14:textId="609CC8E9" w:rsidR="00A16146" w:rsidRDefault="004D42A5" w:rsidP="00E470D6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3.8</w:t>
            </w:r>
          </w:p>
        </w:tc>
        <w:tc>
          <w:tcPr>
            <w:tcW w:w="2838" w:type="dxa"/>
            <w:tcBorders>
              <w:left w:val="single" w:sz="4" w:space="0" w:color="000000"/>
            </w:tcBorders>
            <w:shd w:val="clear" w:color="auto" w:fill="auto"/>
          </w:tcPr>
          <w:p w14:paraId="3B935615" w14:textId="27A0DEFC" w:rsidR="00A16146" w:rsidRPr="002856E4" w:rsidRDefault="00A16146" w:rsidP="00377602">
            <w:pPr>
              <w:autoSpaceDE w:val="0"/>
              <w:autoSpaceDN w:val="0"/>
              <w:adjustRightInd w:val="0"/>
              <w:rPr>
                <w:lang w:val="uk-UA" w:eastAsia="ru-RU"/>
              </w:rPr>
            </w:pPr>
            <w:proofErr w:type="spellStart"/>
            <w:r w:rsidRPr="00A16146">
              <w:rPr>
                <w:lang w:val="uk-UA" w:eastAsia="ru-RU"/>
              </w:rPr>
              <w:t>MagMAX</w:t>
            </w:r>
            <w:proofErr w:type="spellEnd"/>
            <w:r w:rsidRPr="00A16146">
              <w:rPr>
                <w:lang w:val="uk-UA" w:eastAsia="ru-RU"/>
              </w:rPr>
              <w:t xml:space="preserve">™ </w:t>
            </w:r>
            <w:proofErr w:type="spellStart"/>
            <w:r w:rsidRPr="00A16146">
              <w:rPr>
                <w:lang w:val="uk-UA" w:eastAsia="ru-RU"/>
              </w:rPr>
              <w:t>Viral</w:t>
            </w:r>
            <w:proofErr w:type="spellEnd"/>
            <w:r w:rsidRPr="00A16146">
              <w:rPr>
                <w:lang w:val="uk-UA" w:eastAsia="ru-RU"/>
              </w:rPr>
              <w:t>/</w:t>
            </w:r>
            <w:proofErr w:type="spellStart"/>
            <w:r w:rsidRPr="00A16146">
              <w:rPr>
                <w:lang w:val="uk-UA" w:eastAsia="ru-RU"/>
              </w:rPr>
              <w:t>Pathogen</w:t>
            </w:r>
            <w:proofErr w:type="spellEnd"/>
            <w:r w:rsidR="00377602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Nucleic</w:t>
            </w:r>
            <w:proofErr w:type="spellEnd"/>
            <w:r w:rsidRPr="00A16146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Acid</w:t>
            </w:r>
            <w:proofErr w:type="spellEnd"/>
            <w:r w:rsidRPr="00A16146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Isolation</w:t>
            </w:r>
            <w:proofErr w:type="spellEnd"/>
            <w:r w:rsidRPr="00A16146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Kit</w:t>
            </w:r>
            <w:proofErr w:type="spellEnd"/>
            <w:r w:rsidRPr="00A16146">
              <w:rPr>
                <w:lang w:val="uk-UA" w:eastAsia="ru-RU"/>
              </w:rPr>
              <w:t xml:space="preserve"> (200</w:t>
            </w:r>
            <w:r w:rsidR="00377602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reactions</w:t>
            </w:r>
            <w:proofErr w:type="spellEnd"/>
            <w:r w:rsidRPr="00A16146">
              <w:rPr>
                <w:lang w:val="uk-UA" w:eastAsia="ru-RU"/>
              </w:rPr>
              <w:t>)</w:t>
            </w:r>
            <w:r w:rsidR="00377602">
              <w:rPr>
                <w:lang w:val="uk-UA" w:eastAsia="ru-RU"/>
              </w:rPr>
              <w:t xml:space="preserve"> </w:t>
            </w:r>
            <w:r w:rsidRPr="00A16146">
              <w:rPr>
                <w:lang w:val="uk-UA" w:eastAsia="ru-RU"/>
              </w:rPr>
              <w:t>(A42352)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FC2D" w14:textId="77777777" w:rsidR="00A16146" w:rsidRPr="00A16146" w:rsidRDefault="00A16146" w:rsidP="00A16146">
            <w:pPr>
              <w:rPr>
                <w:bCs/>
                <w:lang w:val="uk-UA" w:eastAsia="ru-RU"/>
              </w:rPr>
            </w:pPr>
            <w:r w:rsidRPr="00A16146">
              <w:rPr>
                <w:bCs/>
                <w:lang w:val="uk-UA" w:eastAsia="ru-RU"/>
              </w:rPr>
              <w:t xml:space="preserve">Готові до автоматизації протоколи, розроблені для систем </w:t>
            </w:r>
            <w:proofErr w:type="spellStart"/>
            <w:r w:rsidRPr="00A16146">
              <w:rPr>
                <w:bCs/>
                <w:lang w:val="uk-UA" w:eastAsia="ru-RU"/>
              </w:rPr>
              <w:t>KingFisher</w:t>
            </w:r>
            <w:proofErr w:type="spellEnd"/>
            <w:r w:rsidRPr="00A16146">
              <w:rPr>
                <w:bCs/>
                <w:lang w:val="uk-UA" w:eastAsia="ru-RU"/>
              </w:rPr>
              <w:t xml:space="preserve"> </w:t>
            </w:r>
            <w:proofErr w:type="spellStart"/>
            <w:r w:rsidRPr="00A16146">
              <w:rPr>
                <w:bCs/>
                <w:lang w:val="uk-UA" w:eastAsia="ru-RU"/>
              </w:rPr>
              <w:t>Flex</w:t>
            </w:r>
            <w:proofErr w:type="spellEnd"/>
            <w:r w:rsidRPr="00A16146">
              <w:rPr>
                <w:bCs/>
                <w:lang w:val="uk-UA" w:eastAsia="ru-RU"/>
              </w:rPr>
              <w:t xml:space="preserve"> і </w:t>
            </w:r>
            <w:proofErr w:type="spellStart"/>
            <w:r w:rsidRPr="00A16146">
              <w:rPr>
                <w:bCs/>
                <w:lang w:val="uk-UA" w:eastAsia="ru-RU"/>
              </w:rPr>
              <w:t>KingFisher</w:t>
            </w:r>
            <w:proofErr w:type="spellEnd"/>
            <w:r w:rsidRPr="00A16146">
              <w:rPr>
                <w:bCs/>
                <w:lang w:val="uk-UA" w:eastAsia="ru-RU"/>
              </w:rPr>
              <w:t xml:space="preserve"> </w:t>
            </w:r>
            <w:proofErr w:type="spellStart"/>
            <w:r w:rsidRPr="00A16146">
              <w:rPr>
                <w:bCs/>
                <w:lang w:val="uk-UA" w:eastAsia="ru-RU"/>
              </w:rPr>
              <w:t>Duo</w:t>
            </w:r>
            <w:proofErr w:type="spellEnd"/>
            <w:r w:rsidRPr="00A16146">
              <w:rPr>
                <w:bCs/>
                <w:lang w:val="uk-UA" w:eastAsia="ru-RU"/>
              </w:rPr>
              <w:t xml:space="preserve"> </w:t>
            </w:r>
            <w:proofErr w:type="spellStart"/>
            <w:r w:rsidRPr="00A16146">
              <w:rPr>
                <w:bCs/>
                <w:lang w:val="uk-UA" w:eastAsia="ru-RU"/>
              </w:rPr>
              <w:t>Prime</w:t>
            </w:r>
            <w:proofErr w:type="spellEnd"/>
            <w:r w:rsidRPr="00A16146">
              <w:rPr>
                <w:bCs/>
                <w:lang w:val="uk-UA" w:eastAsia="ru-RU"/>
              </w:rPr>
              <w:t>;</w:t>
            </w:r>
          </w:p>
          <w:p w14:paraId="48FE3592" w14:textId="77777777" w:rsidR="00A16146" w:rsidRPr="00A16146" w:rsidRDefault="00A16146" w:rsidP="00A16146">
            <w:pPr>
              <w:rPr>
                <w:bCs/>
                <w:lang w:val="uk-UA" w:eastAsia="ru-RU"/>
              </w:rPr>
            </w:pPr>
            <w:r w:rsidRPr="00A16146">
              <w:rPr>
                <w:bCs/>
                <w:lang w:val="uk-UA" w:eastAsia="ru-RU"/>
              </w:rPr>
              <w:t>‐ Процедура дозволяє обробити 96 зразків за &lt;30 хвилин;</w:t>
            </w:r>
          </w:p>
          <w:p w14:paraId="5B59F92E" w14:textId="77777777" w:rsidR="00A16146" w:rsidRPr="00A16146" w:rsidRDefault="00A16146" w:rsidP="00A16146">
            <w:pPr>
              <w:rPr>
                <w:bCs/>
                <w:lang w:val="uk-UA" w:eastAsia="ru-RU"/>
              </w:rPr>
            </w:pPr>
            <w:r w:rsidRPr="00A16146">
              <w:rPr>
                <w:bCs/>
                <w:lang w:val="uk-UA" w:eastAsia="ru-RU"/>
              </w:rPr>
              <w:t xml:space="preserve">‐ Гнучкий протокол, введення об’єму зразка від 200 </w:t>
            </w:r>
            <w:proofErr w:type="spellStart"/>
            <w:r w:rsidRPr="00A16146">
              <w:rPr>
                <w:bCs/>
                <w:lang w:val="uk-UA" w:eastAsia="ru-RU"/>
              </w:rPr>
              <w:t>мкл</w:t>
            </w:r>
            <w:proofErr w:type="spellEnd"/>
            <w:r w:rsidRPr="00A16146">
              <w:rPr>
                <w:bCs/>
                <w:lang w:val="uk-UA" w:eastAsia="ru-RU"/>
              </w:rPr>
              <w:t xml:space="preserve"> до 2 мл </w:t>
            </w:r>
            <w:proofErr w:type="spellStart"/>
            <w:r w:rsidRPr="00A16146">
              <w:rPr>
                <w:bCs/>
                <w:lang w:val="uk-UA" w:eastAsia="ru-RU"/>
              </w:rPr>
              <w:t>біорідини</w:t>
            </w:r>
            <w:proofErr w:type="spellEnd"/>
            <w:r w:rsidRPr="00A16146">
              <w:rPr>
                <w:bCs/>
                <w:lang w:val="uk-UA" w:eastAsia="ru-RU"/>
              </w:rPr>
              <w:t xml:space="preserve"> або середовища для перенесення;</w:t>
            </w:r>
          </w:p>
          <w:p w14:paraId="25B93D11" w14:textId="77777777" w:rsidR="00A16146" w:rsidRPr="00A16146" w:rsidRDefault="00A16146" w:rsidP="00A16146">
            <w:pPr>
              <w:rPr>
                <w:bCs/>
                <w:lang w:val="uk-UA" w:eastAsia="ru-RU"/>
              </w:rPr>
            </w:pPr>
            <w:r w:rsidRPr="00A16146">
              <w:rPr>
                <w:bCs/>
                <w:lang w:val="uk-UA" w:eastAsia="ru-RU"/>
              </w:rPr>
              <w:t>‐ Відсутність потреби в РНК-носії;</w:t>
            </w:r>
          </w:p>
          <w:p w14:paraId="1E5A3F6B" w14:textId="4E688978" w:rsidR="00A16146" w:rsidRPr="002856E4" w:rsidRDefault="00A16146" w:rsidP="00A16146">
            <w:pPr>
              <w:rPr>
                <w:bCs/>
                <w:lang w:val="uk-UA" w:eastAsia="ru-RU"/>
              </w:rPr>
            </w:pPr>
            <w:r w:rsidRPr="00A16146">
              <w:rPr>
                <w:bCs/>
                <w:lang w:val="uk-UA" w:eastAsia="ru-RU"/>
              </w:rPr>
              <w:t xml:space="preserve">‐ Об’єм </w:t>
            </w:r>
            <w:proofErr w:type="spellStart"/>
            <w:r w:rsidRPr="00A16146">
              <w:rPr>
                <w:bCs/>
                <w:lang w:val="uk-UA" w:eastAsia="ru-RU"/>
              </w:rPr>
              <w:t>елюції</w:t>
            </w:r>
            <w:proofErr w:type="spellEnd"/>
            <w:r w:rsidRPr="00A16146">
              <w:rPr>
                <w:bCs/>
                <w:lang w:val="uk-UA" w:eastAsia="ru-RU"/>
              </w:rPr>
              <w:t xml:space="preserve"> в діапазоні від 50 до 100 </w:t>
            </w:r>
            <w:proofErr w:type="spellStart"/>
            <w:r w:rsidRPr="00A16146">
              <w:rPr>
                <w:bCs/>
                <w:lang w:val="uk-UA" w:eastAsia="ru-RU"/>
              </w:rPr>
              <w:t>мкл</w:t>
            </w:r>
            <w:proofErr w:type="spellEnd"/>
          </w:p>
        </w:tc>
        <w:tc>
          <w:tcPr>
            <w:tcW w:w="1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B2E8" w14:textId="14B2677C" w:rsidR="00A16146" w:rsidRPr="00840112" w:rsidRDefault="00840112" w:rsidP="00E470D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  <w:tr w:rsidR="00A16146" w:rsidRPr="002856E4" w14:paraId="2CF88555" w14:textId="77777777" w:rsidTr="00EE11A3">
        <w:trPr>
          <w:trHeight w:val="1160"/>
        </w:trPr>
        <w:tc>
          <w:tcPr>
            <w:tcW w:w="700" w:type="dxa"/>
            <w:gridSpan w:val="2"/>
          </w:tcPr>
          <w:p w14:paraId="0DDD87FE" w14:textId="6102B025" w:rsidR="00A16146" w:rsidRDefault="004D42A5" w:rsidP="00E470D6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3.9</w:t>
            </w:r>
          </w:p>
        </w:tc>
        <w:tc>
          <w:tcPr>
            <w:tcW w:w="2838" w:type="dxa"/>
            <w:tcBorders>
              <w:left w:val="single" w:sz="4" w:space="0" w:color="000000"/>
            </w:tcBorders>
            <w:shd w:val="clear" w:color="auto" w:fill="auto"/>
          </w:tcPr>
          <w:p w14:paraId="79F4291D" w14:textId="77777777" w:rsidR="00A16146" w:rsidRPr="00A16146" w:rsidRDefault="00A16146" w:rsidP="00A16146">
            <w:pPr>
              <w:autoSpaceDE w:val="0"/>
              <w:autoSpaceDN w:val="0"/>
              <w:adjustRightInd w:val="0"/>
              <w:rPr>
                <w:lang w:val="uk-UA" w:eastAsia="ru-RU"/>
              </w:rPr>
            </w:pPr>
            <w:r w:rsidRPr="00A16146">
              <w:rPr>
                <w:lang w:val="uk-UA" w:eastAsia="ru-RU"/>
              </w:rPr>
              <w:t xml:space="preserve">0.2 </w:t>
            </w:r>
            <w:proofErr w:type="spellStart"/>
            <w:r w:rsidRPr="00A16146">
              <w:rPr>
                <w:lang w:val="uk-UA" w:eastAsia="ru-RU"/>
              </w:rPr>
              <w:t>mL</w:t>
            </w:r>
            <w:proofErr w:type="spellEnd"/>
            <w:r w:rsidRPr="00A16146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Individual</w:t>
            </w:r>
            <w:proofErr w:type="spellEnd"/>
            <w:r w:rsidRPr="00A16146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Tubes</w:t>
            </w:r>
            <w:proofErr w:type="spellEnd"/>
            <w:r w:rsidRPr="00A16146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with</w:t>
            </w:r>
            <w:proofErr w:type="spellEnd"/>
            <w:r w:rsidRPr="00A16146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flat</w:t>
            </w:r>
            <w:proofErr w:type="spellEnd"/>
          </w:p>
          <w:p w14:paraId="06B6C8D5" w14:textId="26DA2FF4" w:rsidR="00A16146" w:rsidRPr="00A16146" w:rsidRDefault="00A16146" w:rsidP="00A16146">
            <w:pPr>
              <w:autoSpaceDE w:val="0"/>
              <w:autoSpaceDN w:val="0"/>
              <w:adjustRightInd w:val="0"/>
              <w:rPr>
                <w:lang w:val="uk-UA" w:eastAsia="ru-RU"/>
              </w:rPr>
            </w:pPr>
            <w:proofErr w:type="spellStart"/>
            <w:r w:rsidRPr="00A16146">
              <w:rPr>
                <w:lang w:val="uk-UA" w:eastAsia="ru-RU"/>
              </w:rPr>
              <w:t>cap</w:t>
            </w:r>
            <w:proofErr w:type="spellEnd"/>
            <w:r w:rsidRPr="00A16146">
              <w:rPr>
                <w:lang w:val="uk-UA" w:eastAsia="ru-RU"/>
              </w:rPr>
              <w:t xml:space="preserve">, </w:t>
            </w:r>
            <w:proofErr w:type="spellStart"/>
            <w:r w:rsidRPr="00A16146">
              <w:rPr>
                <w:lang w:val="uk-UA" w:eastAsia="ru-RU"/>
              </w:rPr>
              <w:t>for</w:t>
            </w:r>
            <w:proofErr w:type="spellEnd"/>
            <w:r w:rsidRPr="00A16146">
              <w:rPr>
                <w:lang w:val="uk-UA" w:eastAsia="ru-RU"/>
              </w:rPr>
              <w:t xml:space="preserve"> RT‐PCR AB0620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57A4" w14:textId="30C0F8C9" w:rsidR="00A16146" w:rsidRPr="00A16146" w:rsidRDefault="00A16146" w:rsidP="00A16146">
            <w:pPr>
              <w:rPr>
                <w:bCs/>
                <w:lang w:val="uk-UA" w:eastAsia="ru-RU"/>
              </w:rPr>
            </w:pPr>
            <w:proofErr w:type="spellStart"/>
            <w:r w:rsidRPr="00A16146">
              <w:rPr>
                <w:bCs/>
                <w:lang w:val="uk-UA" w:eastAsia="ru-RU"/>
              </w:rPr>
              <w:t>Мікроцентрифужні</w:t>
            </w:r>
            <w:proofErr w:type="spellEnd"/>
            <w:r w:rsidRPr="00A16146">
              <w:rPr>
                <w:bCs/>
                <w:lang w:val="uk-UA" w:eastAsia="ru-RU"/>
              </w:rPr>
              <w:t xml:space="preserve"> пробірки, </w:t>
            </w:r>
            <w:r w:rsidR="00EE11A3">
              <w:rPr>
                <w:bCs/>
                <w:lang w:val="uk-UA" w:eastAsia="ru-RU"/>
              </w:rPr>
              <w:t>прозорі</w:t>
            </w:r>
            <w:r w:rsidRPr="00A16146">
              <w:rPr>
                <w:bCs/>
                <w:lang w:val="uk-UA" w:eastAsia="ru-RU"/>
              </w:rPr>
              <w:t xml:space="preserve">, </w:t>
            </w:r>
            <w:proofErr w:type="spellStart"/>
            <w:r w:rsidRPr="00A16146">
              <w:rPr>
                <w:bCs/>
                <w:lang w:val="uk-UA" w:eastAsia="ru-RU"/>
              </w:rPr>
              <w:t>РНКаза</w:t>
            </w:r>
            <w:proofErr w:type="spellEnd"/>
            <w:r w:rsidRPr="00A16146">
              <w:rPr>
                <w:bCs/>
                <w:lang w:val="uk-UA" w:eastAsia="ru-RU"/>
              </w:rPr>
              <w:t xml:space="preserve"> / </w:t>
            </w:r>
            <w:proofErr w:type="spellStart"/>
            <w:r w:rsidRPr="00A16146">
              <w:rPr>
                <w:bCs/>
                <w:lang w:val="uk-UA" w:eastAsia="ru-RU"/>
              </w:rPr>
              <w:t>ДНКаза</w:t>
            </w:r>
            <w:proofErr w:type="spellEnd"/>
            <w:r w:rsidRPr="00A16146">
              <w:rPr>
                <w:bCs/>
                <w:lang w:val="uk-UA" w:eastAsia="ru-RU"/>
              </w:rPr>
              <w:t xml:space="preserve"> / ДНК /</w:t>
            </w:r>
            <w:r>
              <w:rPr>
                <w:bCs/>
                <w:lang w:val="uk-UA" w:eastAsia="ru-RU"/>
              </w:rPr>
              <w:t>вільні</w:t>
            </w:r>
            <w:r w:rsidRPr="00A16146">
              <w:rPr>
                <w:bCs/>
                <w:lang w:val="uk-UA" w:eastAsia="ru-RU"/>
              </w:rPr>
              <w:t xml:space="preserve"> пробірки, що не містять ендотоксинів</w:t>
            </w:r>
            <w:r w:rsidR="00EE11A3">
              <w:rPr>
                <w:bCs/>
                <w:lang w:val="uk-UA" w:eastAsia="ru-RU"/>
              </w:rPr>
              <w:t xml:space="preserve">. </w:t>
            </w:r>
            <w:r>
              <w:rPr>
                <w:bCs/>
                <w:lang w:val="uk-UA" w:eastAsia="ru-RU"/>
              </w:rPr>
              <w:t xml:space="preserve">Об’єм - </w:t>
            </w:r>
            <w:r w:rsidRPr="00A16146">
              <w:rPr>
                <w:bCs/>
                <w:lang w:val="uk-UA" w:eastAsia="ru-RU"/>
              </w:rPr>
              <w:t xml:space="preserve"> 0,2 мл</w:t>
            </w:r>
          </w:p>
        </w:tc>
        <w:tc>
          <w:tcPr>
            <w:tcW w:w="1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F444" w14:textId="159FBEE3" w:rsidR="00A16146" w:rsidRPr="00840112" w:rsidRDefault="00840112" w:rsidP="00E470D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  <w:tr w:rsidR="00A16146" w:rsidRPr="002856E4" w14:paraId="2AB216A4" w14:textId="77777777" w:rsidTr="00EE11A3">
        <w:trPr>
          <w:trHeight w:val="1160"/>
        </w:trPr>
        <w:tc>
          <w:tcPr>
            <w:tcW w:w="700" w:type="dxa"/>
            <w:gridSpan w:val="2"/>
          </w:tcPr>
          <w:p w14:paraId="436C6E9E" w14:textId="1DAD19DD" w:rsidR="00A16146" w:rsidRDefault="004D42A5" w:rsidP="00E470D6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3.10</w:t>
            </w:r>
          </w:p>
        </w:tc>
        <w:tc>
          <w:tcPr>
            <w:tcW w:w="2838" w:type="dxa"/>
            <w:tcBorders>
              <w:left w:val="single" w:sz="4" w:space="0" w:color="000000"/>
            </w:tcBorders>
            <w:shd w:val="clear" w:color="auto" w:fill="auto"/>
          </w:tcPr>
          <w:p w14:paraId="559E8B9E" w14:textId="77777777" w:rsidR="00A16146" w:rsidRPr="00A16146" w:rsidRDefault="00A16146" w:rsidP="00A16146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A16146">
              <w:rPr>
                <w:lang w:eastAsia="ru-RU"/>
              </w:rPr>
              <w:t>MicroAmp</w:t>
            </w:r>
            <w:proofErr w:type="spellEnd"/>
            <w:r w:rsidRPr="00A16146">
              <w:rPr>
                <w:lang w:eastAsia="ru-RU"/>
              </w:rPr>
              <w:t>™ Optical 8‐Tube Strip</w:t>
            </w:r>
          </w:p>
          <w:p w14:paraId="31DC71B3" w14:textId="3E5F179F" w:rsidR="00A16146" w:rsidRPr="00A16146" w:rsidRDefault="00A16146" w:rsidP="00A16146">
            <w:pPr>
              <w:autoSpaceDE w:val="0"/>
              <w:autoSpaceDN w:val="0"/>
              <w:adjustRightInd w:val="0"/>
              <w:rPr>
                <w:lang w:val="uk-UA" w:eastAsia="ru-RU"/>
              </w:rPr>
            </w:pPr>
            <w:r w:rsidRPr="00A16146">
              <w:rPr>
                <w:lang w:eastAsia="ru-RU"/>
              </w:rPr>
              <w:t>4316567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F53D7" w14:textId="0B3A5747" w:rsidR="00A16146" w:rsidRPr="00A16146" w:rsidRDefault="00A16146" w:rsidP="00A16146">
            <w:pPr>
              <w:rPr>
                <w:bCs/>
                <w:lang w:val="uk-UA" w:eastAsia="ru-RU"/>
              </w:rPr>
            </w:pPr>
            <w:r w:rsidRPr="00A16146">
              <w:rPr>
                <w:bCs/>
                <w:lang w:val="uk-UA" w:eastAsia="ru-RU"/>
              </w:rPr>
              <w:t xml:space="preserve">− </w:t>
            </w:r>
            <w:proofErr w:type="spellStart"/>
            <w:r w:rsidRPr="00A16146">
              <w:rPr>
                <w:bCs/>
                <w:lang w:val="uk-UA" w:eastAsia="ru-RU"/>
              </w:rPr>
              <w:t>Стрип</w:t>
            </w:r>
            <w:proofErr w:type="spellEnd"/>
            <w:r w:rsidRPr="00A16146">
              <w:rPr>
                <w:bCs/>
                <w:lang w:val="uk-UA" w:eastAsia="ru-RU"/>
              </w:rPr>
              <w:t xml:space="preserve"> з 8 </w:t>
            </w:r>
            <w:r>
              <w:rPr>
                <w:bCs/>
                <w:lang w:val="uk-UA" w:eastAsia="ru-RU"/>
              </w:rPr>
              <w:t>пробірок</w:t>
            </w:r>
            <w:r w:rsidRPr="00A16146">
              <w:rPr>
                <w:bCs/>
                <w:lang w:val="uk-UA" w:eastAsia="ru-RU"/>
              </w:rPr>
              <w:t>;</w:t>
            </w:r>
          </w:p>
          <w:p w14:paraId="77700F5C" w14:textId="77777777" w:rsidR="00A16146" w:rsidRPr="00A16146" w:rsidRDefault="00A16146" w:rsidP="00A16146">
            <w:pPr>
              <w:rPr>
                <w:bCs/>
                <w:lang w:val="uk-UA" w:eastAsia="ru-RU"/>
              </w:rPr>
            </w:pPr>
            <w:r w:rsidRPr="00A16146">
              <w:rPr>
                <w:bCs/>
                <w:lang w:val="uk-UA" w:eastAsia="ru-RU"/>
              </w:rPr>
              <w:t>− Маркування літерами A-H на окремих пробірках, яке видно, коли ковпачки відкриті чи закриті;</w:t>
            </w:r>
          </w:p>
          <w:p w14:paraId="210A2C5C" w14:textId="77777777" w:rsidR="00A16146" w:rsidRPr="00A16146" w:rsidRDefault="00A16146" w:rsidP="00A16146">
            <w:pPr>
              <w:rPr>
                <w:bCs/>
                <w:lang w:val="uk-UA" w:eastAsia="ru-RU"/>
              </w:rPr>
            </w:pPr>
            <w:r w:rsidRPr="00A16146">
              <w:rPr>
                <w:bCs/>
                <w:lang w:val="uk-UA" w:eastAsia="ru-RU"/>
              </w:rPr>
              <w:t>− Збільшена площа маркування: подвійні торцеві вкладки для правильного маркування та зручного використання;</w:t>
            </w:r>
          </w:p>
          <w:p w14:paraId="7102B2BF" w14:textId="1E547800" w:rsidR="00A16146" w:rsidRPr="00A16146" w:rsidRDefault="00A16146" w:rsidP="00A16146">
            <w:pPr>
              <w:rPr>
                <w:bCs/>
                <w:lang w:val="uk-UA" w:eastAsia="ru-RU"/>
              </w:rPr>
            </w:pPr>
            <w:r w:rsidRPr="00A16146">
              <w:rPr>
                <w:bCs/>
                <w:lang w:val="uk-UA" w:eastAsia="ru-RU"/>
              </w:rPr>
              <w:t xml:space="preserve">− Градуйовані вимірювальні маркери об’ємом 20 </w:t>
            </w:r>
            <w:proofErr w:type="spellStart"/>
            <w:r w:rsidRPr="00A16146">
              <w:rPr>
                <w:bCs/>
                <w:lang w:val="uk-UA" w:eastAsia="ru-RU"/>
              </w:rPr>
              <w:t>мкл</w:t>
            </w:r>
            <w:proofErr w:type="spellEnd"/>
            <w:r w:rsidRPr="00A16146">
              <w:rPr>
                <w:bCs/>
                <w:lang w:val="uk-UA" w:eastAsia="ru-RU"/>
              </w:rPr>
              <w:t xml:space="preserve"> на кожній пробірці для візуальної перевірки об’єму</w:t>
            </w:r>
          </w:p>
        </w:tc>
        <w:tc>
          <w:tcPr>
            <w:tcW w:w="1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379C" w14:textId="21BBED09" w:rsidR="00A16146" w:rsidRPr="00840112" w:rsidRDefault="00840112" w:rsidP="00E470D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  <w:tr w:rsidR="00A16146" w:rsidRPr="002856E4" w14:paraId="693EA488" w14:textId="77777777" w:rsidTr="00EE11A3">
        <w:trPr>
          <w:trHeight w:val="1160"/>
        </w:trPr>
        <w:tc>
          <w:tcPr>
            <w:tcW w:w="700" w:type="dxa"/>
            <w:gridSpan w:val="2"/>
          </w:tcPr>
          <w:p w14:paraId="3D6392E0" w14:textId="750E39D9" w:rsidR="00A16146" w:rsidRDefault="004D42A5" w:rsidP="00E470D6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3.11</w:t>
            </w:r>
          </w:p>
        </w:tc>
        <w:tc>
          <w:tcPr>
            <w:tcW w:w="2838" w:type="dxa"/>
            <w:tcBorders>
              <w:left w:val="single" w:sz="4" w:space="0" w:color="000000"/>
            </w:tcBorders>
            <w:shd w:val="clear" w:color="auto" w:fill="auto"/>
          </w:tcPr>
          <w:p w14:paraId="44F9A8C0" w14:textId="77777777" w:rsidR="00A16146" w:rsidRDefault="00A16146" w:rsidP="00A16146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MicroAmp</w:t>
            </w:r>
            <w:proofErr w:type="spellEnd"/>
            <w:r>
              <w:rPr>
                <w:lang w:eastAsia="ru-RU"/>
              </w:rPr>
              <w:t xml:space="preserve"> TM Optical 8‐Cap</w:t>
            </w:r>
          </w:p>
          <w:p w14:paraId="30066BED" w14:textId="38CBBA52" w:rsidR="00A16146" w:rsidRPr="00A16146" w:rsidRDefault="00A16146" w:rsidP="00A1614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Strip 4323032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5AB1" w14:textId="77777777" w:rsidR="00A16146" w:rsidRPr="00A16146" w:rsidRDefault="00A16146" w:rsidP="00A16146">
            <w:pPr>
              <w:rPr>
                <w:bCs/>
                <w:lang w:val="uk-UA" w:eastAsia="ru-RU"/>
              </w:rPr>
            </w:pPr>
            <w:r w:rsidRPr="00A16146">
              <w:rPr>
                <w:bCs/>
                <w:lang w:val="uk-UA" w:eastAsia="ru-RU"/>
              </w:rPr>
              <w:t xml:space="preserve">− </w:t>
            </w:r>
            <w:proofErr w:type="spellStart"/>
            <w:r w:rsidRPr="00A16146">
              <w:rPr>
                <w:bCs/>
                <w:lang w:val="uk-UA" w:eastAsia="ru-RU"/>
              </w:rPr>
              <w:t>Стрип</w:t>
            </w:r>
            <w:proofErr w:type="spellEnd"/>
            <w:r w:rsidRPr="00A16146">
              <w:rPr>
                <w:bCs/>
                <w:lang w:val="uk-UA" w:eastAsia="ru-RU"/>
              </w:rPr>
              <w:t xml:space="preserve"> з 8 ковпачків;</w:t>
            </w:r>
          </w:p>
          <w:p w14:paraId="016720B1" w14:textId="4196F84A" w:rsidR="00A16146" w:rsidRPr="00A16146" w:rsidRDefault="00A16146" w:rsidP="00A16146">
            <w:pPr>
              <w:rPr>
                <w:bCs/>
                <w:lang w:val="uk-UA" w:eastAsia="ru-RU"/>
              </w:rPr>
            </w:pPr>
            <w:r w:rsidRPr="00A16146">
              <w:rPr>
                <w:bCs/>
                <w:lang w:val="uk-UA" w:eastAsia="ru-RU"/>
              </w:rPr>
              <w:t>− плоскі кришки</w:t>
            </w:r>
          </w:p>
        </w:tc>
        <w:tc>
          <w:tcPr>
            <w:tcW w:w="1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E59D" w14:textId="7B90C8B9" w:rsidR="00A16146" w:rsidRPr="00840112" w:rsidRDefault="00840112" w:rsidP="00E470D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</w:tbl>
    <w:p w14:paraId="61E115E8" w14:textId="3B82D687" w:rsidR="00B16091" w:rsidRDefault="00B16091" w:rsidP="005F49A6">
      <w:pPr>
        <w:autoSpaceDE w:val="0"/>
        <w:autoSpaceDN w:val="0"/>
        <w:ind w:left="6480" w:firstLine="72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ДОДАТОК 2</w:t>
      </w:r>
    </w:p>
    <w:p w14:paraId="13125D18" w14:textId="77777777" w:rsidR="00B16091" w:rsidRDefault="00B16091" w:rsidP="005F49A6">
      <w:pPr>
        <w:autoSpaceDE w:val="0"/>
        <w:autoSpaceDN w:val="0"/>
        <w:ind w:left="4236" w:firstLine="72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до оголошення про проведення тендеру</w:t>
      </w:r>
    </w:p>
    <w:p w14:paraId="428A2634" w14:textId="77777777" w:rsidR="00B16091" w:rsidRDefault="00B16091" w:rsidP="005F49A6">
      <w:pPr>
        <w:autoSpaceDE w:val="0"/>
        <w:autoSpaceDN w:val="0"/>
        <w:jc w:val="right"/>
        <w:rPr>
          <w:b/>
          <w:bCs/>
          <w:color w:val="000000"/>
          <w:u w:val="single"/>
          <w:lang w:val="uk-UA"/>
        </w:rPr>
      </w:pPr>
      <w:r>
        <w:rPr>
          <w:b/>
          <w:bCs/>
          <w:color w:val="000000"/>
          <w:lang w:val="uk-UA"/>
        </w:rPr>
        <w:t>ДОКУМЕНТИ, ЩО ПІДТВЕРДЖУЮТЬ КВАЛІФІКАЦІЮ УЧАСНИКА</w:t>
      </w:r>
    </w:p>
    <w:p w14:paraId="48E8737B" w14:textId="77777777" w:rsidR="00B16091" w:rsidRDefault="00B16091" w:rsidP="00B16091">
      <w:pPr>
        <w:autoSpaceDE w:val="0"/>
        <w:autoSpaceDN w:val="0"/>
        <w:ind w:left="680"/>
        <w:jc w:val="center"/>
        <w:rPr>
          <w:b/>
          <w:bCs/>
          <w:color w:val="000000"/>
          <w:u w:val="single"/>
          <w:lang w:val="uk-UA"/>
        </w:rPr>
      </w:pPr>
    </w:p>
    <w:p w14:paraId="18A30051" w14:textId="77777777" w:rsidR="00B16091" w:rsidRDefault="00B16091" w:rsidP="00B16091">
      <w:pPr>
        <w:autoSpaceDE w:val="0"/>
        <w:autoSpaceDN w:val="0"/>
        <w:ind w:left="680"/>
        <w:jc w:val="center"/>
        <w:rPr>
          <w:b/>
          <w:bCs/>
          <w:color w:val="000000"/>
          <w:u w:val="single"/>
          <w:lang w:val="uk-UA"/>
        </w:rPr>
      </w:pPr>
    </w:p>
    <w:p w14:paraId="404FD39B" w14:textId="77777777" w:rsidR="00B16091" w:rsidRDefault="00B16091" w:rsidP="00B16091">
      <w:pPr>
        <w:autoSpaceDE w:val="0"/>
        <w:autoSpaceDN w:val="0"/>
        <w:ind w:left="680"/>
        <w:rPr>
          <w:b/>
          <w:bCs/>
          <w:color w:val="000000"/>
          <w:u w:val="single"/>
          <w:lang w:val="uk-UA"/>
        </w:rPr>
      </w:pPr>
      <w:r>
        <w:rPr>
          <w:b/>
          <w:bCs/>
          <w:color w:val="000000"/>
          <w:u w:val="single"/>
          <w:lang w:val="uk-UA"/>
        </w:rPr>
        <w:t>Загальні вимоги:</w:t>
      </w:r>
    </w:p>
    <w:p w14:paraId="5175B348" w14:textId="77777777" w:rsidR="00B16091" w:rsidRDefault="00B16091" w:rsidP="00B16091">
      <w:pPr>
        <w:autoSpaceDE w:val="0"/>
        <w:autoSpaceDN w:val="0"/>
        <w:rPr>
          <w:b/>
          <w:bCs/>
          <w:color w:val="000000"/>
          <w:u w:val="single"/>
          <w:lang w:val="uk-UA"/>
        </w:rPr>
      </w:pPr>
    </w:p>
    <w:p w14:paraId="0FB1BAEE" w14:textId="2C8F2F68" w:rsidR="008B458A" w:rsidRPr="00393C6A" w:rsidRDefault="008B458A" w:rsidP="008B458A">
      <w:pPr>
        <w:autoSpaceDE w:val="0"/>
        <w:autoSpaceDN w:val="0"/>
        <w:ind w:firstLine="680"/>
        <w:jc w:val="both"/>
        <w:rPr>
          <w:lang w:val="uk-UA"/>
        </w:rPr>
      </w:pPr>
      <w:r w:rsidRPr="00832885">
        <w:rPr>
          <w:lang w:val="uk-UA"/>
        </w:rPr>
        <w:t xml:space="preserve">До розгляду будуть прийматися </w:t>
      </w:r>
      <w:r w:rsidR="00832885" w:rsidRPr="00832885">
        <w:rPr>
          <w:lang w:val="uk-UA"/>
        </w:rPr>
        <w:t xml:space="preserve">цінові пропозиції </w:t>
      </w:r>
      <w:r w:rsidRPr="00832885">
        <w:rPr>
          <w:lang w:val="uk-UA"/>
        </w:rPr>
        <w:t>Товариств з обмеженою відповідальністю та Фізичн</w:t>
      </w:r>
      <w:r w:rsidR="00832885" w:rsidRPr="00832885">
        <w:rPr>
          <w:lang w:val="uk-UA"/>
        </w:rPr>
        <w:t>их</w:t>
      </w:r>
      <w:r w:rsidRPr="00832885">
        <w:rPr>
          <w:lang w:val="uk-UA"/>
        </w:rPr>
        <w:t xml:space="preserve"> ос</w:t>
      </w:r>
      <w:r w:rsidR="00832885" w:rsidRPr="00832885">
        <w:rPr>
          <w:lang w:val="uk-UA"/>
        </w:rPr>
        <w:t>і</w:t>
      </w:r>
      <w:r w:rsidRPr="00832885">
        <w:rPr>
          <w:lang w:val="uk-UA"/>
        </w:rPr>
        <w:t>б-підприємці</w:t>
      </w:r>
      <w:r w:rsidR="00832885" w:rsidRPr="00832885">
        <w:rPr>
          <w:lang w:val="uk-UA"/>
        </w:rPr>
        <w:t>в як</w:t>
      </w:r>
      <w:r w:rsidRPr="00832885">
        <w:rPr>
          <w:lang w:val="uk-UA"/>
        </w:rPr>
        <w:t xml:space="preserve"> на загальних умовах оподаткування</w:t>
      </w:r>
      <w:r w:rsidR="00832885" w:rsidRPr="00832885">
        <w:rPr>
          <w:lang w:val="uk-UA"/>
        </w:rPr>
        <w:t>, так</w:t>
      </w:r>
      <w:r w:rsidRPr="00832885">
        <w:rPr>
          <w:lang w:val="uk-UA"/>
        </w:rPr>
        <w:t xml:space="preserve"> і неплатник</w:t>
      </w:r>
      <w:r w:rsidR="00832885" w:rsidRPr="00832885">
        <w:rPr>
          <w:lang w:val="uk-UA"/>
        </w:rPr>
        <w:t>ів</w:t>
      </w:r>
      <w:r w:rsidRPr="00832885">
        <w:rPr>
          <w:lang w:val="uk-UA"/>
        </w:rPr>
        <w:t xml:space="preserve"> Податку на додану вартість</w:t>
      </w:r>
      <w:r w:rsidR="00393C6A" w:rsidRPr="00393C6A">
        <w:rPr>
          <w:lang w:val="uk-UA"/>
        </w:rPr>
        <w:t xml:space="preserve"> </w:t>
      </w:r>
      <w:r w:rsidR="00393C6A">
        <w:rPr>
          <w:lang w:val="uk-UA"/>
        </w:rPr>
        <w:t>та інших форм власності компаній</w:t>
      </w:r>
      <w:r w:rsidR="00393C6A" w:rsidRPr="00393C6A">
        <w:rPr>
          <w:lang w:val="uk-UA"/>
        </w:rPr>
        <w:t>.</w:t>
      </w:r>
    </w:p>
    <w:p w14:paraId="74724D25" w14:textId="37FCB18B" w:rsidR="008B458A" w:rsidRPr="00832885" w:rsidRDefault="008B458A" w:rsidP="00051659">
      <w:pPr>
        <w:autoSpaceDE w:val="0"/>
        <w:autoSpaceDN w:val="0"/>
        <w:ind w:firstLine="680"/>
        <w:jc w:val="both"/>
        <w:rPr>
          <w:lang w:val="uk-UA"/>
        </w:rPr>
      </w:pPr>
      <w:r w:rsidRPr="00832885">
        <w:rPr>
          <w:lang w:val="uk-UA"/>
        </w:rPr>
        <w:t>Зверніть увагу, що претенденти повинні заявити в своїй пропозиції, що вони розуміють, що організація PATH звільнена від ПДВ, і це звільнення буде застосоване до всіх рахунків-фактур, або що учасник</w:t>
      </w:r>
      <w:r w:rsidR="00832885" w:rsidRPr="00832885">
        <w:rPr>
          <w:lang w:val="uk-UA"/>
        </w:rPr>
        <w:t>и</w:t>
      </w:r>
      <w:r w:rsidRPr="00832885">
        <w:rPr>
          <w:lang w:val="uk-UA"/>
        </w:rPr>
        <w:t xml:space="preserve"> розуміють правила використання порядку звільнення від ПДВ*. </w:t>
      </w:r>
    </w:p>
    <w:p w14:paraId="64ACAE02" w14:textId="5F4D12FA" w:rsidR="00B16091" w:rsidRDefault="008B458A" w:rsidP="008B458A">
      <w:pPr>
        <w:autoSpaceDE w:val="0"/>
        <w:autoSpaceDN w:val="0"/>
        <w:ind w:firstLine="720"/>
        <w:jc w:val="both"/>
        <w:rPr>
          <w:rFonts w:eastAsiaTheme="minorHAnsi"/>
          <w:color w:val="FF0000"/>
          <w:lang w:val="uk-UA"/>
        </w:rPr>
      </w:pPr>
      <w:r w:rsidRPr="00B21C5C">
        <w:rPr>
          <w:lang w:val="uk-UA"/>
        </w:rPr>
        <w:t>Відповідний профіль діяльності зазначений в установчих документах, що дозволяє продавати</w:t>
      </w:r>
      <w:r>
        <w:rPr>
          <w:lang w:val="uk-UA"/>
        </w:rPr>
        <w:t xml:space="preserve"> </w:t>
      </w:r>
      <w:r w:rsidR="00832885">
        <w:rPr>
          <w:lang w:val="uk-UA"/>
        </w:rPr>
        <w:t>вказан</w:t>
      </w:r>
      <w:r w:rsidR="00653748">
        <w:rPr>
          <w:lang w:val="uk-UA"/>
        </w:rPr>
        <w:t>і</w:t>
      </w:r>
      <w:r w:rsidR="00832885">
        <w:rPr>
          <w:lang w:val="uk-UA"/>
        </w:rPr>
        <w:t xml:space="preserve"> в Лоті 1 </w:t>
      </w:r>
      <w:r w:rsidR="00653748">
        <w:rPr>
          <w:lang w:val="uk-UA"/>
        </w:rPr>
        <w:t>послуги</w:t>
      </w:r>
      <w:r w:rsidR="00832885">
        <w:rPr>
          <w:lang w:val="uk-UA"/>
        </w:rPr>
        <w:t>.</w:t>
      </w:r>
      <w:r>
        <w:rPr>
          <w:lang w:val="uk-UA"/>
        </w:rPr>
        <w:t xml:space="preserve"> </w:t>
      </w:r>
    </w:p>
    <w:p w14:paraId="4F9C5EBD" w14:textId="77777777" w:rsidR="00B16091" w:rsidRDefault="00B16091" w:rsidP="00B16091">
      <w:pPr>
        <w:autoSpaceDE w:val="0"/>
        <w:autoSpaceDN w:val="0"/>
        <w:ind w:left="680"/>
        <w:jc w:val="center"/>
        <w:rPr>
          <w:b/>
          <w:bCs/>
          <w:color w:val="000000"/>
          <w:u w:val="single"/>
          <w:lang w:val="uk-UA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279"/>
      </w:tblGrid>
      <w:tr w:rsidR="00B16091" w:rsidRPr="00EE37B4" w14:paraId="3B129DC7" w14:textId="77777777" w:rsidTr="00B1609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5499" w14:textId="77777777" w:rsidR="00B16091" w:rsidRDefault="00B16091">
            <w:pPr>
              <w:autoSpaceDE w:val="0"/>
              <w:autoSpaceDN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Кваліфікаційні критерії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9468D" w14:textId="77777777" w:rsidR="00B16091" w:rsidRDefault="00B16091">
            <w:pPr>
              <w:autoSpaceDE w:val="0"/>
              <w:autoSpaceDN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Підтверджуючі  документи </w:t>
            </w:r>
          </w:p>
          <w:p w14:paraId="03B46851" w14:textId="77777777" w:rsidR="00B16091" w:rsidRDefault="00B16091">
            <w:pPr>
              <w:autoSpaceDE w:val="0"/>
              <w:autoSpaceDN w:val="0"/>
              <w:jc w:val="center"/>
              <w:rPr>
                <w:b/>
                <w:bCs/>
                <w:color w:val="000000"/>
                <w:u w:val="single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(завіренні печаткою організації та підписом уповноваженої особи)</w:t>
            </w:r>
          </w:p>
        </w:tc>
      </w:tr>
      <w:tr w:rsidR="00B16091" w:rsidRPr="00EE37B4" w14:paraId="7D8BFA8F" w14:textId="77777777" w:rsidTr="00B1609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B787" w14:textId="45B3F07E" w:rsidR="00B16091" w:rsidRPr="00CB178A" w:rsidRDefault="00B16091">
            <w:pPr>
              <w:autoSpaceDE w:val="0"/>
              <w:autoSpaceDN w:val="0"/>
              <w:rPr>
                <w:b/>
                <w:bCs/>
                <w:color w:val="000000"/>
                <w:u w:val="single"/>
                <w:lang w:val="ru-RU"/>
              </w:rPr>
            </w:pPr>
            <w:r>
              <w:rPr>
                <w:lang w:val="uk-UA"/>
              </w:rPr>
              <w:lastRenderedPageBreak/>
              <w:t>Фізична особа-підприємець за законодавством України / Товариство з обмеженою відповідальністю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A6E3" w14:textId="77777777" w:rsidR="00B16091" w:rsidRDefault="00B16091" w:rsidP="006C0B2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60" w:line="252" w:lineRule="auto"/>
              <w:ind w:right="22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Копія витягу з Єдиного державного реєстру (ЄДР) юридичних осіб та фізичних осіб-підприємців.</w:t>
            </w:r>
          </w:p>
          <w:p w14:paraId="249B1B13" w14:textId="77777777" w:rsidR="00B16091" w:rsidRDefault="00B16091" w:rsidP="006C0B2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60" w:line="252" w:lineRule="auto"/>
              <w:ind w:right="22"/>
              <w:contextualSpacing/>
              <w:jc w:val="both"/>
              <w:rPr>
                <w:b/>
                <w:bCs/>
                <w:color w:val="000000"/>
                <w:u w:val="single"/>
                <w:lang w:val="uk-UA"/>
              </w:rPr>
            </w:pPr>
            <w:r>
              <w:rPr>
                <w:color w:val="000000"/>
                <w:lang w:val="uk-UA"/>
              </w:rPr>
              <w:t>Підтвердження про відсутність боргів щодо сплати податків.</w:t>
            </w:r>
          </w:p>
          <w:p w14:paraId="6D6A5BC0" w14:textId="52422545" w:rsidR="00B16091" w:rsidRDefault="00B16091" w:rsidP="006C0B2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Копія документу про статус платника податків; документи, що підтверджують статус неплатника ПДВ, або зобов’язання від учасника використання порядку звільнення від ПДВ (порядок отримання права на звільнення від оподаткування операцій, що здійснюються в рамках проектів міжнародної технічної допомоги, регламентується постановою Кабінету Міністрів України від 15 лютого 2002 року № 153 «Про створення єдиної системи залучення, використання та моніторингу міжнародної технічної допомоги»).</w:t>
            </w:r>
          </w:p>
          <w:p w14:paraId="738C01E2" w14:textId="0D554D0A" w:rsidR="00EC7172" w:rsidRPr="004D42A5" w:rsidRDefault="00EC7172" w:rsidP="006C0B2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Гарантійний лист про те, що ц</w:t>
            </w:r>
            <w:r w:rsidRPr="00A164C7">
              <w:rPr>
                <w:lang w:val="uk-UA"/>
              </w:rPr>
              <w:t xml:space="preserve">іни </w:t>
            </w:r>
            <w:r>
              <w:rPr>
                <w:lang w:val="uk-UA"/>
              </w:rPr>
              <w:t xml:space="preserve">вказані в ціновій пропозиції </w:t>
            </w:r>
            <w:r w:rsidRPr="00A164C7">
              <w:rPr>
                <w:lang w:val="uk-UA"/>
              </w:rPr>
              <w:t>повинні включати всі податки та збори (адреса кінцевого споживача буде надано Замовником пізніше),</w:t>
            </w:r>
            <w:r w:rsidR="004D42A5">
              <w:rPr>
                <w:i/>
                <w:iCs/>
                <w:color w:val="161515"/>
                <w:lang w:val="uk-UA"/>
              </w:rPr>
              <w:t xml:space="preserve"> </w:t>
            </w:r>
            <w:r w:rsidR="004D42A5" w:rsidRPr="004D42A5">
              <w:rPr>
                <w:color w:val="161515"/>
                <w:lang w:val="uk-UA"/>
              </w:rPr>
              <w:t>мають бути дійсними без змін впродовж не менш ніж 90 (дев’яноста) днів з дня їх подачі</w:t>
            </w:r>
            <w:r w:rsidRPr="00A164C7">
              <w:rPr>
                <w:lang w:val="uk-UA"/>
              </w:rPr>
              <w:t xml:space="preserve"> </w:t>
            </w:r>
          </w:p>
          <w:p w14:paraId="283CA73E" w14:textId="17F6D14E" w:rsidR="004D42A5" w:rsidRDefault="004D42A5" w:rsidP="006C0B2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color w:val="161515"/>
                <w:lang w:val="uk-UA"/>
              </w:rPr>
            </w:pPr>
            <w:proofErr w:type="spellStart"/>
            <w:r w:rsidRPr="004D42A5">
              <w:rPr>
                <w:color w:val="161515"/>
                <w:lang w:val="uk-UA"/>
              </w:rPr>
              <w:t>Авторизаційний</w:t>
            </w:r>
            <w:proofErr w:type="spellEnd"/>
            <w:r w:rsidRPr="004D42A5">
              <w:rPr>
                <w:color w:val="161515"/>
                <w:lang w:val="uk-UA"/>
              </w:rPr>
              <w:t xml:space="preserve"> лист від виробника на право представляти та постачати запропоновану продукцію</w:t>
            </w:r>
          </w:p>
          <w:p w14:paraId="72C84C9D" w14:textId="763F4272" w:rsidR="00746BC4" w:rsidRPr="004D42A5" w:rsidRDefault="00746BC4" w:rsidP="006C0B2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color w:val="161515"/>
                <w:lang w:val="uk-UA"/>
              </w:rPr>
            </w:pPr>
            <w:r>
              <w:rPr>
                <w:color w:val="161515"/>
                <w:lang w:val="uk-UA"/>
              </w:rPr>
              <w:t>Довільний гарантійний лист про строки поставки реагентів</w:t>
            </w:r>
          </w:p>
          <w:p w14:paraId="244EC944" w14:textId="77777777" w:rsidR="00B16091" w:rsidRDefault="00B16091">
            <w:pPr>
              <w:pStyle w:val="ListParagraph"/>
              <w:autoSpaceDE w:val="0"/>
              <w:autoSpaceDN w:val="0"/>
              <w:spacing w:after="160" w:line="252" w:lineRule="auto"/>
              <w:ind w:left="360" w:right="22"/>
              <w:contextualSpacing/>
              <w:jc w:val="both"/>
              <w:rPr>
                <w:b/>
                <w:bCs/>
                <w:color w:val="000000"/>
                <w:u w:val="single"/>
                <w:lang w:val="uk-UA"/>
              </w:rPr>
            </w:pPr>
          </w:p>
        </w:tc>
      </w:tr>
      <w:tr w:rsidR="00B16091" w:rsidRPr="00EE37B4" w14:paraId="5D55BD1E" w14:textId="77777777" w:rsidTr="00B1609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3D60" w14:textId="77777777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Досвід виконання подібних договорів:</w:t>
            </w:r>
          </w:p>
          <w:p w14:paraId="02F78EC7" w14:textId="77777777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14:paraId="6E2D285B" w14:textId="77777777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14:paraId="55721083" w14:textId="77777777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14:paraId="13F06043" w14:textId="77777777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A8AF" w14:textId="77777777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Документальні підтвердження надаються у довільній формі у вигляді посилання на основні успішні договори.</w:t>
            </w:r>
          </w:p>
          <w:p w14:paraId="12B8F9D9" w14:textId="77777777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</w:p>
        </w:tc>
      </w:tr>
      <w:tr w:rsidR="00B16091" w14:paraId="7BF3180C" w14:textId="77777777" w:rsidTr="00B1609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0615" w14:textId="77777777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Загальна інформація про компанію 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739D5" w14:textId="7A700583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Заповнений Додаток 4</w:t>
            </w:r>
            <w:r w:rsidR="003A3619">
              <w:rPr>
                <w:color w:val="000000"/>
                <w:lang w:val="uk-UA"/>
              </w:rPr>
              <w:t>.</w:t>
            </w:r>
          </w:p>
          <w:p w14:paraId="36905FE9" w14:textId="77777777" w:rsidR="00035985" w:rsidRDefault="00035985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14:paraId="5C4270ED" w14:textId="77777777" w:rsidR="00035C35" w:rsidRDefault="00035C35">
            <w:pPr>
              <w:autoSpaceDE w:val="0"/>
              <w:autoSpaceDN w:val="0"/>
              <w:rPr>
                <w:color w:val="000000"/>
                <w:lang w:val="uk-UA"/>
              </w:rPr>
            </w:pPr>
          </w:p>
        </w:tc>
      </w:tr>
      <w:tr w:rsidR="00B16091" w:rsidRPr="00393C6A" w14:paraId="322AF739" w14:textId="77777777" w:rsidTr="00B1609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E9067" w14:textId="77777777" w:rsidR="00B16091" w:rsidRPr="003A3619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3A3619">
              <w:rPr>
                <w:color w:val="000000"/>
                <w:lang w:val="uk-UA"/>
              </w:rPr>
              <w:t xml:space="preserve">Можливість проводити оплату за надані послуги шляхом безготівкових розрахунків </w:t>
            </w:r>
          </w:p>
          <w:p w14:paraId="562685A0" w14:textId="77777777" w:rsidR="00035C35" w:rsidRPr="003A3619" w:rsidRDefault="00035C35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14:paraId="1EE12C89" w14:textId="30CE620E" w:rsidR="00035C35" w:rsidRPr="003A3619" w:rsidRDefault="00035C35">
            <w:pPr>
              <w:autoSpaceDE w:val="0"/>
              <w:autoSpaceDN w:val="0"/>
              <w:rPr>
                <w:color w:val="000000"/>
                <w:lang w:val="uk-UA"/>
              </w:rPr>
            </w:pP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63C57" w14:textId="77777777" w:rsidR="00B16091" w:rsidRPr="003A3619" w:rsidRDefault="00035C35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3A3619">
              <w:rPr>
                <w:color w:val="000000"/>
                <w:lang w:val="uk-UA"/>
              </w:rPr>
              <w:t>Вказати банківські реквізити</w:t>
            </w:r>
            <w:r w:rsidR="003A3619">
              <w:rPr>
                <w:color w:val="000000"/>
                <w:lang w:val="uk-UA"/>
              </w:rPr>
              <w:t>.</w:t>
            </w:r>
          </w:p>
          <w:p w14:paraId="35F5B4C4" w14:textId="77777777" w:rsidR="00035C35" w:rsidRPr="003A3619" w:rsidRDefault="00035C35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14:paraId="2E2490E8" w14:textId="77777777" w:rsidR="00035C35" w:rsidRPr="003A3619" w:rsidRDefault="00035C35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14:paraId="4BD7D59E" w14:textId="7894844E" w:rsidR="00035C35" w:rsidRPr="003A3619" w:rsidRDefault="00035C35">
            <w:pPr>
              <w:autoSpaceDE w:val="0"/>
              <w:autoSpaceDN w:val="0"/>
              <w:rPr>
                <w:color w:val="000000"/>
                <w:lang w:val="uk-UA"/>
              </w:rPr>
            </w:pPr>
          </w:p>
        </w:tc>
      </w:tr>
    </w:tbl>
    <w:p w14:paraId="355B23F8" w14:textId="77777777" w:rsidR="00B16091" w:rsidRDefault="00B16091" w:rsidP="00B16091">
      <w:pPr>
        <w:autoSpaceDE w:val="0"/>
        <w:autoSpaceDN w:val="0"/>
        <w:ind w:left="4236" w:firstLine="708"/>
        <w:rPr>
          <w:rFonts w:eastAsiaTheme="minorHAnsi"/>
          <w:b/>
          <w:bCs/>
          <w:lang w:val="uk-UA"/>
        </w:rPr>
      </w:pPr>
    </w:p>
    <w:p w14:paraId="30591559" w14:textId="77777777" w:rsidR="00B16091" w:rsidRDefault="00B16091" w:rsidP="00B16091">
      <w:pPr>
        <w:autoSpaceDE w:val="0"/>
        <w:autoSpaceDN w:val="0"/>
        <w:spacing w:before="120" w:after="12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Примітка:</w:t>
      </w:r>
    </w:p>
    <w:p w14:paraId="6494B54C" w14:textId="77777777" w:rsidR="00B16091" w:rsidRDefault="00B16091" w:rsidP="00B16091">
      <w:pPr>
        <w:autoSpaceDE w:val="0"/>
        <w:autoSpaceDN w:val="0"/>
        <w:rPr>
          <w:b/>
          <w:bCs/>
          <w:color w:val="000000"/>
          <w:u w:val="single"/>
          <w:lang w:val="uk-UA"/>
        </w:rPr>
      </w:pPr>
      <w:r>
        <w:rPr>
          <w:b/>
          <w:bCs/>
          <w:lang w:val="uk-UA"/>
        </w:rPr>
        <w:t>Всі документи, за винятком оригіналів чи нотаріально завірених документів, виданих Учаснику іншими організаціями (підприємствами, установами), повинні бути підписані уповноваженою особою учасника та скріплені його власною печаткою.</w:t>
      </w:r>
    </w:p>
    <w:p w14:paraId="37FC06C4" w14:textId="77777777" w:rsidR="00B16091" w:rsidRDefault="00B16091" w:rsidP="00B16091">
      <w:pPr>
        <w:autoSpaceDE w:val="0"/>
        <w:autoSpaceDN w:val="0"/>
        <w:ind w:left="4236" w:firstLine="708"/>
        <w:rPr>
          <w:b/>
          <w:bCs/>
          <w:lang w:val="uk-UA"/>
        </w:rPr>
      </w:pPr>
    </w:p>
    <w:p w14:paraId="5A9C6518" w14:textId="77777777" w:rsidR="00B16091" w:rsidRDefault="00B16091" w:rsidP="00B16091">
      <w:pPr>
        <w:autoSpaceDE w:val="0"/>
        <w:autoSpaceDN w:val="0"/>
        <w:ind w:left="4236" w:firstLine="708"/>
        <w:rPr>
          <w:b/>
          <w:bCs/>
          <w:lang w:val="uk-UA"/>
        </w:rPr>
      </w:pPr>
    </w:p>
    <w:p w14:paraId="680CB18A" w14:textId="6A3A164F" w:rsidR="005C66B6" w:rsidRPr="00C518F2" w:rsidRDefault="00B16091" w:rsidP="00377602">
      <w:pPr>
        <w:autoSpaceDE w:val="0"/>
        <w:autoSpaceDN w:val="0"/>
        <w:jc w:val="both"/>
        <w:rPr>
          <w:b/>
          <w:bCs/>
          <w:color w:val="000000"/>
          <w:u w:val="single"/>
          <w:lang w:val="uk-UA"/>
        </w:rPr>
      </w:pPr>
      <w:r>
        <w:rPr>
          <w:sz w:val="20"/>
          <w:szCs w:val="20"/>
          <w:lang w:val="uk-UA"/>
        </w:rPr>
        <w:t>*Згідно зі статтею 1(а) Угоди “товари, поставки та інше майно, що надається або використовується у зв’язку з програмами допомоги Сполучених Штатів, можуть імпортуватися, експортуватися або використовуватися в Україні із звільненням від будь-яких тарифів, зборів, мит, податків на імпорт та інших аналогічних податків або зборів, що накладаються Україною або будь-якою її організацією”.</w:t>
      </w:r>
      <w:r w:rsidR="005C66B6" w:rsidRPr="00C518F2">
        <w:rPr>
          <w:b/>
          <w:bCs/>
          <w:lang w:val="uk-UA"/>
        </w:rPr>
        <w:br w:type="page"/>
      </w:r>
    </w:p>
    <w:p w14:paraId="4A03FC16" w14:textId="77777777" w:rsidR="005C66B6" w:rsidRPr="00C518F2" w:rsidRDefault="005C66B6" w:rsidP="00AE241E">
      <w:pPr>
        <w:autoSpaceDE w:val="0"/>
        <w:autoSpaceDN w:val="0"/>
        <w:adjustRightInd w:val="0"/>
        <w:jc w:val="right"/>
        <w:rPr>
          <w:b/>
          <w:bCs/>
          <w:color w:val="000000"/>
          <w:u w:val="single"/>
          <w:lang w:val="uk-UA"/>
        </w:rPr>
      </w:pPr>
    </w:p>
    <w:p w14:paraId="15EAA2A0" w14:textId="77777777" w:rsidR="005C66B6" w:rsidRPr="000F6D4C" w:rsidRDefault="005C66B6" w:rsidP="00AE241E">
      <w:pPr>
        <w:autoSpaceDE w:val="0"/>
        <w:autoSpaceDN w:val="0"/>
        <w:adjustRightInd w:val="0"/>
        <w:ind w:left="4236" w:firstLine="720"/>
        <w:rPr>
          <w:b/>
          <w:bCs/>
          <w:lang w:val="uk-UA"/>
        </w:rPr>
      </w:pPr>
      <w:r w:rsidRPr="00C518F2">
        <w:rPr>
          <w:b/>
          <w:bCs/>
          <w:lang w:val="uk-UA"/>
        </w:rPr>
        <w:t xml:space="preserve">ДОДАТОК  </w:t>
      </w:r>
      <w:r w:rsidR="00674D12" w:rsidRPr="000F6D4C">
        <w:rPr>
          <w:b/>
          <w:bCs/>
          <w:lang w:val="uk-UA"/>
        </w:rPr>
        <w:t>3</w:t>
      </w:r>
    </w:p>
    <w:p w14:paraId="656D844D" w14:textId="77777777" w:rsidR="005C66B6" w:rsidRPr="00C518F2" w:rsidRDefault="005C66B6" w:rsidP="00AE241E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  <w:r w:rsidRPr="00C518F2">
        <w:rPr>
          <w:b/>
          <w:bCs/>
          <w:color w:val="000000"/>
          <w:lang w:val="uk-UA"/>
        </w:rPr>
        <w:t>до оголошення про проведення тендеру</w:t>
      </w:r>
    </w:p>
    <w:p w14:paraId="3579764F" w14:textId="77777777" w:rsidR="005C66B6" w:rsidRPr="00C518F2" w:rsidRDefault="005C66B6" w:rsidP="00F745C5">
      <w:pPr>
        <w:pStyle w:val="Heading4"/>
        <w:ind w:right="-40"/>
        <w:rPr>
          <w:rFonts w:ascii="Times New Roman" w:hAnsi="Times New Roman"/>
          <w:b w:val="0"/>
          <w:bCs/>
          <w:color w:val="000000"/>
          <w:sz w:val="24"/>
          <w:szCs w:val="24"/>
          <w:lang w:val="uk-UA"/>
        </w:rPr>
      </w:pPr>
      <w:r w:rsidRPr="00C518F2">
        <w:rPr>
          <w:rFonts w:ascii="Times New Roman" w:hAnsi="Times New Roman"/>
          <w:b w:val="0"/>
          <w:color w:val="000000"/>
          <w:sz w:val="24"/>
          <w:szCs w:val="24"/>
          <w:lang w:val="uk-UA"/>
        </w:rPr>
        <w:tab/>
      </w:r>
    </w:p>
    <w:p w14:paraId="0FBC839A" w14:textId="77777777" w:rsidR="005C66B6" w:rsidRPr="00C518F2" w:rsidRDefault="005C66B6" w:rsidP="00F745C5">
      <w:pPr>
        <w:autoSpaceDE w:val="0"/>
        <w:autoSpaceDN w:val="0"/>
        <w:adjustRightInd w:val="0"/>
        <w:ind w:left="680"/>
        <w:jc w:val="center"/>
        <w:rPr>
          <w:lang w:val="uk-UA"/>
        </w:rPr>
      </w:pPr>
    </w:p>
    <w:p w14:paraId="4E1168B0" w14:textId="77777777" w:rsidR="005C66B6" w:rsidRPr="00C518F2" w:rsidRDefault="00DA0520" w:rsidP="00F745C5">
      <w:pPr>
        <w:jc w:val="center"/>
        <w:rPr>
          <w:b/>
          <w:bCs/>
          <w:lang w:val="uk-UA"/>
        </w:rPr>
      </w:pPr>
      <w:r w:rsidRPr="00C518F2">
        <w:rPr>
          <w:b/>
          <w:bCs/>
          <w:lang w:val="uk-UA"/>
        </w:rPr>
        <w:t>КРИТЕРІЇ</w:t>
      </w:r>
      <w:r w:rsidR="005C66B6" w:rsidRPr="00C518F2">
        <w:rPr>
          <w:b/>
          <w:bCs/>
          <w:lang w:val="uk-UA"/>
        </w:rPr>
        <w:t xml:space="preserve"> ОЦІНКИ ТЕНДЕРНИХ ПРОПОЗИЦІЙ:</w:t>
      </w:r>
    </w:p>
    <w:p w14:paraId="0CE9F531" w14:textId="77777777" w:rsidR="005C66B6" w:rsidRPr="00C518F2" w:rsidRDefault="005C66B6" w:rsidP="00F745C5">
      <w:pPr>
        <w:jc w:val="both"/>
        <w:rPr>
          <w:b/>
          <w:bCs/>
          <w:lang w:val="uk-UA"/>
        </w:rPr>
      </w:pPr>
    </w:p>
    <w:p w14:paraId="067016B2" w14:textId="77777777" w:rsidR="005C66B6" w:rsidRPr="00C518F2" w:rsidRDefault="003B1246" w:rsidP="006C0B21">
      <w:pPr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  <w:r>
        <w:rPr>
          <w:lang w:val="uk-UA"/>
        </w:rPr>
        <w:t>Зміст та комплект</w:t>
      </w:r>
      <w:r w:rsidR="005C66B6" w:rsidRPr="00C518F2">
        <w:rPr>
          <w:lang w:val="uk-UA"/>
        </w:rPr>
        <w:t>ність документів, що підтверджують кваліфікацію Учасника;</w:t>
      </w:r>
    </w:p>
    <w:p w14:paraId="15235F7E" w14:textId="77777777" w:rsidR="005C66B6" w:rsidRPr="00C518F2" w:rsidRDefault="005C66B6" w:rsidP="006C0B21">
      <w:pPr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  <w:r w:rsidRPr="00C518F2">
        <w:rPr>
          <w:lang w:val="uk-UA"/>
        </w:rPr>
        <w:t>Вартість пропозиції;</w:t>
      </w:r>
    </w:p>
    <w:p w14:paraId="09131A6D" w14:textId="77777777" w:rsidR="005C66B6" w:rsidRPr="00C518F2" w:rsidRDefault="005C66B6" w:rsidP="006C0B21">
      <w:pPr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  <w:r w:rsidRPr="00C518F2">
        <w:rPr>
          <w:lang w:val="uk-UA"/>
        </w:rPr>
        <w:t>Відповідність технічним специфікаціям</w:t>
      </w:r>
      <w:r w:rsidR="005933B7" w:rsidRPr="00C518F2">
        <w:rPr>
          <w:lang w:val="uk-UA"/>
        </w:rPr>
        <w:t>.</w:t>
      </w:r>
    </w:p>
    <w:p w14:paraId="3CE97D2C" w14:textId="77777777" w:rsidR="005C66B6" w:rsidRPr="000F6D4C" w:rsidRDefault="005C66B6" w:rsidP="00F745C5">
      <w:pPr>
        <w:autoSpaceDE w:val="0"/>
        <w:autoSpaceDN w:val="0"/>
        <w:adjustRightInd w:val="0"/>
        <w:ind w:left="4236" w:firstLine="720"/>
        <w:rPr>
          <w:b/>
          <w:bCs/>
          <w:lang w:val="uk-UA"/>
        </w:rPr>
      </w:pPr>
      <w:r w:rsidRPr="00C518F2">
        <w:rPr>
          <w:b/>
          <w:bCs/>
          <w:color w:val="000000"/>
          <w:u w:val="single"/>
          <w:lang w:val="uk-UA"/>
        </w:rPr>
        <w:br w:type="page"/>
      </w:r>
      <w:bookmarkStart w:id="0" w:name="OLE_LINK1"/>
      <w:bookmarkStart w:id="1" w:name="OLE_LINK2"/>
      <w:bookmarkStart w:id="2" w:name="OLE_LINK3"/>
      <w:r w:rsidRPr="00C518F2">
        <w:rPr>
          <w:b/>
          <w:bCs/>
          <w:lang w:val="uk-UA"/>
        </w:rPr>
        <w:lastRenderedPageBreak/>
        <w:t xml:space="preserve">ДОДАТОК </w:t>
      </w:r>
      <w:r w:rsidR="00674D12" w:rsidRPr="000F6D4C">
        <w:rPr>
          <w:b/>
          <w:bCs/>
          <w:lang w:val="uk-UA"/>
        </w:rPr>
        <w:t>4</w:t>
      </w:r>
    </w:p>
    <w:p w14:paraId="6473D5F3" w14:textId="77777777" w:rsidR="005C66B6" w:rsidRPr="00C518F2" w:rsidRDefault="005C66B6" w:rsidP="00F745C5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  <w:r w:rsidRPr="00C518F2">
        <w:rPr>
          <w:b/>
          <w:bCs/>
          <w:color w:val="000000"/>
          <w:lang w:val="uk-UA"/>
        </w:rPr>
        <w:t>до оголошення про проведення тендеру</w:t>
      </w:r>
    </w:p>
    <w:bookmarkEnd w:id="0"/>
    <w:bookmarkEnd w:id="1"/>
    <w:bookmarkEnd w:id="2"/>
    <w:p w14:paraId="4AE3CABB" w14:textId="77777777" w:rsidR="005C66B6" w:rsidRPr="00C518F2" w:rsidRDefault="005C66B6" w:rsidP="00F745C5">
      <w:pPr>
        <w:spacing w:line="276" w:lineRule="auto"/>
        <w:jc w:val="center"/>
        <w:rPr>
          <w:b/>
          <w:bCs/>
          <w:lang w:val="uk-UA"/>
        </w:rPr>
      </w:pPr>
    </w:p>
    <w:p w14:paraId="1FE540A7" w14:textId="77777777" w:rsidR="005C66B6" w:rsidRPr="00C518F2" w:rsidRDefault="005C66B6" w:rsidP="00F745C5">
      <w:pPr>
        <w:spacing w:line="276" w:lineRule="auto"/>
        <w:jc w:val="center"/>
        <w:rPr>
          <w:b/>
          <w:bCs/>
          <w:lang w:val="uk-UA"/>
        </w:rPr>
      </w:pPr>
      <w:r w:rsidRPr="00C518F2">
        <w:rPr>
          <w:b/>
          <w:bCs/>
          <w:lang w:val="uk-UA"/>
        </w:rPr>
        <w:t>ЗАГАЛЬНА ІНФОРМАЦІЯ ПРО КОМПАНІЮ</w:t>
      </w:r>
    </w:p>
    <w:p w14:paraId="38EDFC8B" w14:textId="77777777" w:rsidR="005C66B6" w:rsidRPr="00C518F2" w:rsidRDefault="005C66B6" w:rsidP="00F745C5">
      <w:pPr>
        <w:spacing w:line="276" w:lineRule="auto"/>
        <w:jc w:val="center"/>
        <w:rPr>
          <w:b/>
          <w:bCs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3982"/>
        <w:gridCol w:w="5215"/>
      </w:tblGrid>
      <w:tr w:rsidR="005C66B6" w:rsidRPr="00C518F2" w14:paraId="7D7D55B6" w14:textId="77777777">
        <w:tc>
          <w:tcPr>
            <w:tcW w:w="548" w:type="dxa"/>
          </w:tcPr>
          <w:p w14:paraId="1CFE2AFA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5DC3816D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Повна назва компанії</w:t>
            </w:r>
          </w:p>
        </w:tc>
        <w:tc>
          <w:tcPr>
            <w:tcW w:w="5215" w:type="dxa"/>
          </w:tcPr>
          <w:p w14:paraId="30490CD0" w14:textId="77777777"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14:paraId="60CADB01" w14:textId="77777777">
        <w:tc>
          <w:tcPr>
            <w:tcW w:w="548" w:type="dxa"/>
          </w:tcPr>
          <w:p w14:paraId="4C4E1244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6A1F8AF3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 xml:space="preserve">Дата заснування  </w:t>
            </w:r>
          </w:p>
        </w:tc>
        <w:tc>
          <w:tcPr>
            <w:tcW w:w="5215" w:type="dxa"/>
          </w:tcPr>
          <w:p w14:paraId="57227AB8" w14:textId="77777777"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14:paraId="5372A810" w14:textId="77777777">
        <w:tc>
          <w:tcPr>
            <w:tcW w:w="548" w:type="dxa"/>
          </w:tcPr>
          <w:p w14:paraId="6140A05C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0754D1F3" w14:textId="77777777" w:rsidR="005C66B6" w:rsidRPr="00C518F2" w:rsidRDefault="005C66B6" w:rsidP="00E5284F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Контактна інформація про компанію</w:t>
            </w:r>
          </w:p>
          <w:p w14:paraId="5C0719AA" w14:textId="77777777" w:rsidR="005C66B6" w:rsidRPr="00C518F2" w:rsidRDefault="005C66B6" w:rsidP="00E5284F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Адреса</w:t>
            </w:r>
          </w:p>
          <w:p w14:paraId="1770660D" w14:textId="77777777" w:rsidR="005C66B6" w:rsidRPr="00C518F2" w:rsidRDefault="005C66B6" w:rsidP="00E5284F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Телефон</w:t>
            </w:r>
          </w:p>
          <w:p w14:paraId="4E07CBA7" w14:textId="77777777" w:rsidR="005C66B6" w:rsidRPr="00C518F2" w:rsidRDefault="005C66B6" w:rsidP="00E5284F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Електронна адреса для листування</w:t>
            </w:r>
          </w:p>
          <w:p w14:paraId="1C1C91B9" w14:textId="77777777" w:rsidR="005C66B6" w:rsidRPr="00C518F2" w:rsidRDefault="005C66B6" w:rsidP="00E5284F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Веб-сторінка</w:t>
            </w:r>
          </w:p>
        </w:tc>
        <w:tc>
          <w:tcPr>
            <w:tcW w:w="5215" w:type="dxa"/>
          </w:tcPr>
          <w:p w14:paraId="0F0F27B3" w14:textId="77777777"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14:paraId="2BDAFF65" w14:textId="77777777">
        <w:tc>
          <w:tcPr>
            <w:tcW w:w="548" w:type="dxa"/>
          </w:tcPr>
          <w:p w14:paraId="70A643D4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358509F0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Директор компанії</w:t>
            </w:r>
          </w:p>
        </w:tc>
        <w:tc>
          <w:tcPr>
            <w:tcW w:w="5215" w:type="dxa"/>
          </w:tcPr>
          <w:p w14:paraId="4BDB01A5" w14:textId="77777777"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EE37B4" w14:paraId="4E776702" w14:textId="77777777">
        <w:tc>
          <w:tcPr>
            <w:tcW w:w="548" w:type="dxa"/>
          </w:tcPr>
          <w:p w14:paraId="0B84811D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7559EA95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Контактна особа (</w:t>
            </w:r>
            <w:r w:rsidR="004D728E">
              <w:rPr>
                <w:lang w:val="uk-UA"/>
              </w:rPr>
              <w:t>в</w:t>
            </w:r>
            <w:r w:rsidR="00DA0520">
              <w:rPr>
                <w:lang w:val="uk-UA"/>
              </w:rPr>
              <w:t xml:space="preserve">изначений менеджер проекту), </w:t>
            </w:r>
            <w:r w:rsidRPr="00C518F2">
              <w:rPr>
                <w:color w:val="000000"/>
                <w:lang w:val="uk-UA"/>
              </w:rPr>
              <w:t>з якою можна зв’язатися в надзвичайних ситуаціях у будь-який час</w:t>
            </w:r>
          </w:p>
        </w:tc>
        <w:tc>
          <w:tcPr>
            <w:tcW w:w="5215" w:type="dxa"/>
          </w:tcPr>
          <w:p w14:paraId="1589470C" w14:textId="77777777"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14:paraId="40D0D427" w14:textId="77777777">
        <w:tc>
          <w:tcPr>
            <w:tcW w:w="548" w:type="dxa"/>
          </w:tcPr>
          <w:p w14:paraId="55B794C9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7ED3D3C8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Свідоцтво платника податку</w:t>
            </w:r>
          </w:p>
        </w:tc>
        <w:tc>
          <w:tcPr>
            <w:tcW w:w="5215" w:type="dxa"/>
          </w:tcPr>
          <w:p w14:paraId="1F70AE06" w14:textId="77777777"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14:paraId="250CE8FF" w14:textId="77777777">
        <w:trPr>
          <w:trHeight w:val="455"/>
        </w:trPr>
        <w:tc>
          <w:tcPr>
            <w:tcW w:w="548" w:type="dxa"/>
          </w:tcPr>
          <w:p w14:paraId="2667A9F2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71EF7138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Банківські реквізити</w:t>
            </w:r>
          </w:p>
        </w:tc>
        <w:tc>
          <w:tcPr>
            <w:tcW w:w="5215" w:type="dxa"/>
          </w:tcPr>
          <w:p w14:paraId="09D7560D" w14:textId="77777777" w:rsidR="005C66B6" w:rsidRPr="00C518F2" w:rsidRDefault="005C66B6" w:rsidP="00E5284F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C66B6" w:rsidRPr="00C518F2" w14:paraId="1FC3D8D3" w14:textId="77777777">
        <w:tc>
          <w:tcPr>
            <w:tcW w:w="548" w:type="dxa"/>
          </w:tcPr>
          <w:p w14:paraId="7B5341EB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4414D8EB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Основні види діяльності</w:t>
            </w:r>
          </w:p>
        </w:tc>
        <w:tc>
          <w:tcPr>
            <w:tcW w:w="5215" w:type="dxa"/>
          </w:tcPr>
          <w:p w14:paraId="6ED295A5" w14:textId="77777777" w:rsidR="005C66B6" w:rsidRPr="00C518F2" w:rsidRDefault="005C66B6" w:rsidP="00E5284F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C66B6" w:rsidRPr="00C518F2" w14:paraId="7E0C0676" w14:textId="77777777">
        <w:tc>
          <w:tcPr>
            <w:tcW w:w="548" w:type="dxa"/>
          </w:tcPr>
          <w:p w14:paraId="3761D020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3E7A1B51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Ліцензії</w:t>
            </w:r>
          </w:p>
        </w:tc>
        <w:tc>
          <w:tcPr>
            <w:tcW w:w="5215" w:type="dxa"/>
          </w:tcPr>
          <w:p w14:paraId="6D76B509" w14:textId="77777777"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14:paraId="4F0264DA" w14:textId="77777777">
        <w:tc>
          <w:tcPr>
            <w:tcW w:w="548" w:type="dxa"/>
          </w:tcPr>
          <w:p w14:paraId="2E60E829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56B73A25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Кількість філій (представництв)</w:t>
            </w:r>
          </w:p>
        </w:tc>
        <w:tc>
          <w:tcPr>
            <w:tcW w:w="5215" w:type="dxa"/>
          </w:tcPr>
          <w:p w14:paraId="4E3E81B2" w14:textId="77777777"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45F51" w:rsidRPr="00EE37B4" w14:paraId="573F96A8" w14:textId="77777777">
        <w:tc>
          <w:tcPr>
            <w:tcW w:w="548" w:type="dxa"/>
          </w:tcPr>
          <w:p w14:paraId="29E3DB35" w14:textId="77777777" w:rsidR="00545F51" w:rsidRPr="00C518F2" w:rsidRDefault="00545F51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255D5C31" w14:textId="77777777" w:rsidR="00545F51" w:rsidRPr="00C518F2" w:rsidRDefault="00545F51" w:rsidP="00E528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Кількість сервісних центрів в Україні</w:t>
            </w:r>
          </w:p>
        </w:tc>
        <w:tc>
          <w:tcPr>
            <w:tcW w:w="5215" w:type="dxa"/>
          </w:tcPr>
          <w:p w14:paraId="09A698C6" w14:textId="77777777" w:rsidR="00545F51" w:rsidRPr="00C518F2" w:rsidRDefault="00545F51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</w:tbl>
    <w:p w14:paraId="3D8383BF" w14:textId="77777777" w:rsidR="005C66B6" w:rsidRPr="00C518F2" w:rsidRDefault="005C66B6" w:rsidP="00F745C5">
      <w:pPr>
        <w:spacing w:line="276" w:lineRule="auto"/>
        <w:jc w:val="both"/>
        <w:rPr>
          <w:b/>
          <w:bCs/>
          <w:lang w:val="uk-UA"/>
        </w:rPr>
      </w:pPr>
    </w:p>
    <w:p w14:paraId="7962129F" w14:textId="77777777" w:rsidR="005C66B6" w:rsidRPr="00C518F2" w:rsidRDefault="005C66B6" w:rsidP="00F745C5">
      <w:pPr>
        <w:spacing w:line="276" w:lineRule="auto"/>
        <w:ind w:left="360"/>
        <w:jc w:val="both"/>
        <w:rPr>
          <w:lang w:val="uk-UA"/>
        </w:rPr>
      </w:pPr>
    </w:p>
    <w:p w14:paraId="42714E9B" w14:textId="77777777" w:rsidR="005C66B6" w:rsidRPr="00C518F2" w:rsidRDefault="005C66B6" w:rsidP="004D728E">
      <w:pPr>
        <w:tabs>
          <w:tab w:val="left" w:pos="993"/>
        </w:tabs>
        <w:spacing w:line="276" w:lineRule="auto"/>
        <w:jc w:val="both"/>
        <w:rPr>
          <w:lang w:val="uk-UA"/>
        </w:rPr>
      </w:pPr>
      <w:r w:rsidRPr="00C518F2">
        <w:rPr>
          <w:b/>
          <w:bCs/>
          <w:lang w:val="uk-UA"/>
        </w:rPr>
        <w:t>Інша додаткова інформація</w:t>
      </w:r>
      <w:r w:rsidRPr="00C518F2">
        <w:rPr>
          <w:lang w:val="uk-UA"/>
        </w:rPr>
        <w:t xml:space="preserve"> ____________________________________________________</w:t>
      </w:r>
    </w:p>
    <w:p w14:paraId="0FE15911" w14:textId="77777777" w:rsidR="005C66B6" w:rsidRPr="00C518F2" w:rsidRDefault="005C66B6" w:rsidP="00F745C5">
      <w:pPr>
        <w:pStyle w:val="BodyTextIndent"/>
        <w:spacing w:line="276" w:lineRule="auto"/>
        <w:rPr>
          <w:lang w:val="uk-UA"/>
        </w:rPr>
      </w:pPr>
    </w:p>
    <w:p w14:paraId="5322A2F6" w14:textId="77777777" w:rsidR="005C66B6" w:rsidRPr="00C518F2" w:rsidRDefault="005C66B6" w:rsidP="00F745C5">
      <w:pPr>
        <w:spacing w:line="276" w:lineRule="auto"/>
        <w:jc w:val="both"/>
        <w:rPr>
          <w:lang w:val="uk-UA"/>
        </w:rPr>
      </w:pPr>
    </w:p>
    <w:p w14:paraId="72D2A3A3" w14:textId="77777777" w:rsidR="005C66B6" w:rsidRPr="00C518F2" w:rsidRDefault="005C66B6" w:rsidP="00F745C5">
      <w:pPr>
        <w:spacing w:line="276" w:lineRule="auto"/>
        <w:ind w:firstLine="360"/>
        <w:rPr>
          <w:lang w:val="uk-UA"/>
        </w:rPr>
      </w:pPr>
      <w:r w:rsidRPr="00C518F2">
        <w:rPr>
          <w:lang w:val="uk-UA"/>
        </w:rPr>
        <w:t>Підпис _______________</w:t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="00471CE0">
        <w:rPr>
          <w:lang w:val="uk-UA"/>
        </w:rPr>
        <w:tab/>
      </w:r>
      <w:r w:rsidRPr="00C518F2">
        <w:rPr>
          <w:lang w:val="uk-UA"/>
        </w:rPr>
        <w:tab/>
        <w:t xml:space="preserve">Дата </w:t>
      </w:r>
    </w:p>
    <w:p w14:paraId="15DC901D" w14:textId="77777777" w:rsidR="005C66B6" w:rsidRPr="00C518F2" w:rsidRDefault="005C66B6" w:rsidP="00F745C5">
      <w:pPr>
        <w:spacing w:line="276" w:lineRule="auto"/>
        <w:ind w:firstLine="360"/>
        <w:rPr>
          <w:lang w:val="uk-UA"/>
        </w:rPr>
      </w:pPr>
    </w:p>
    <w:p w14:paraId="49917197" w14:textId="77777777" w:rsidR="005C66B6" w:rsidRPr="00C518F2" w:rsidRDefault="005C66B6" w:rsidP="00F745C5">
      <w:pPr>
        <w:spacing w:line="276" w:lineRule="auto"/>
        <w:ind w:firstLine="360"/>
        <w:rPr>
          <w:lang w:val="uk-UA"/>
        </w:rPr>
      </w:pPr>
    </w:p>
    <w:p w14:paraId="6BBF8B83" w14:textId="77777777" w:rsidR="005C66B6" w:rsidRPr="00C518F2" w:rsidRDefault="005C66B6" w:rsidP="00F745C5">
      <w:pPr>
        <w:spacing w:line="276" w:lineRule="auto"/>
        <w:ind w:firstLine="360"/>
        <w:rPr>
          <w:lang w:val="uk-UA"/>
        </w:rPr>
      </w:pPr>
    </w:p>
    <w:p w14:paraId="2E5822BE" w14:textId="77777777" w:rsidR="005C66B6" w:rsidRPr="00C518F2" w:rsidRDefault="005C66B6" w:rsidP="00F745C5">
      <w:pPr>
        <w:spacing w:line="276" w:lineRule="auto"/>
        <w:ind w:firstLine="360"/>
        <w:rPr>
          <w:lang w:val="uk-UA"/>
        </w:rPr>
      </w:pPr>
    </w:p>
    <w:p w14:paraId="06399A22" w14:textId="77777777" w:rsidR="005C66B6" w:rsidRPr="00C518F2" w:rsidRDefault="005C66B6" w:rsidP="00F745C5">
      <w:pPr>
        <w:spacing w:line="276" w:lineRule="auto"/>
        <w:ind w:firstLine="360"/>
        <w:rPr>
          <w:lang w:val="uk-UA"/>
        </w:rPr>
      </w:pPr>
    </w:p>
    <w:p w14:paraId="6ADACC49" w14:textId="77777777" w:rsidR="005C66B6" w:rsidRPr="00C518F2" w:rsidRDefault="005C66B6" w:rsidP="00F745C5">
      <w:pPr>
        <w:spacing w:line="276" w:lineRule="auto"/>
        <w:ind w:firstLine="360"/>
        <w:rPr>
          <w:lang w:val="uk-UA"/>
        </w:rPr>
      </w:pPr>
      <w:r w:rsidRPr="00C518F2">
        <w:rPr>
          <w:lang w:val="uk-UA"/>
        </w:rPr>
        <w:br w:type="page"/>
      </w:r>
    </w:p>
    <w:p w14:paraId="66DC06BA" w14:textId="77777777" w:rsidR="000E3E4D" w:rsidRPr="00C518F2" w:rsidRDefault="00D115DD" w:rsidP="000E3E4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Р</w:t>
      </w:r>
      <w:r w:rsidR="003665E5" w:rsidRPr="00C518F2">
        <w:rPr>
          <w:b/>
          <w:bCs/>
          <w:sz w:val="28"/>
          <w:szCs w:val="28"/>
          <w:lang w:val="uk-UA"/>
        </w:rPr>
        <w:t>озділ 2</w:t>
      </w:r>
      <w:r w:rsidR="000E3E4D" w:rsidRPr="00C518F2">
        <w:rPr>
          <w:b/>
          <w:bCs/>
          <w:sz w:val="28"/>
          <w:szCs w:val="28"/>
          <w:lang w:val="uk-UA"/>
        </w:rPr>
        <w:t xml:space="preserve">. ФІНАНСОВА ПРОПОЗИЦІЯ </w:t>
      </w:r>
    </w:p>
    <w:p w14:paraId="21FAF14D" w14:textId="77777777" w:rsidR="000E3E4D" w:rsidRPr="00C518F2" w:rsidRDefault="000E3E4D" w:rsidP="000E3E4D">
      <w:pPr>
        <w:shd w:val="clear" w:color="auto" w:fill="C0C0C0"/>
        <w:jc w:val="center"/>
        <w:rPr>
          <w:sz w:val="28"/>
          <w:szCs w:val="28"/>
          <w:lang w:val="uk-UA"/>
        </w:rPr>
      </w:pPr>
      <w:r w:rsidRPr="00C518F2">
        <w:rPr>
          <w:b/>
          <w:bCs/>
          <w:sz w:val="28"/>
          <w:szCs w:val="28"/>
          <w:lang w:val="uk-UA"/>
        </w:rPr>
        <w:t>(ТИПОВІ ФОРМИ)</w:t>
      </w:r>
    </w:p>
    <w:p w14:paraId="3307E7BF" w14:textId="77777777" w:rsidR="000E3E4D" w:rsidRPr="00C518F2" w:rsidRDefault="000E3E4D" w:rsidP="000E3E4D">
      <w:pPr>
        <w:tabs>
          <w:tab w:val="left" w:pos="0"/>
          <w:tab w:val="left" w:pos="9720"/>
        </w:tabs>
        <w:autoSpaceDE w:val="0"/>
        <w:autoSpaceDN w:val="0"/>
        <w:adjustRightInd w:val="0"/>
        <w:ind w:right="196"/>
        <w:jc w:val="both"/>
        <w:rPr>
          <w:color w:val="000000"/>
          <w:lang w:val="uk-UA"/>
        </w:rPr>
      </w:pPr>
    </w:p>
    <w:p w14:paraId="51525CE2" w14:textId="77777777" w:rsidR="000E3E4D" w:rsidRPr="00452049" w:rsidRDefault="00452049" w:rsidP="000E3E4D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  <w:r w:rsidRPr="00452049">
        <w:rPr>
          <w:b/>
          <w:bCs/>
          <w:color w:val="000000"/>
          <w:lang w:val="uk-UA"/>
        </w:rPr>
        <w:t>ДОДАТОК 5</w:t>
      </w:r>
    </w:p>
    <w:p w14:paraId="5FC2236A" w14:textId="77777777" w:rsidR="000E3E4D" w:rsidRPr="00452049" w:rsidRDefault="000E3E4D" w:rsidP="000E3E4D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  <w:r w:rsidRPr="00452049">
        <w:rPr>
          <w:b/>
          <w:bCs/>
          <w:color w:val="000000"/>
          <w:lang w:val="uk-UA"/>
        </w:rPr>
        <w:t xml:space="preserve">до оголошення про проведення тендеру </w:t>
      </w:r>
    </w:p>
    <w:p w14:paraId="35D58721" w14:textId="77777777" w:rsidR="000E3E4D" w:rsidRPr="00452049" w:rsidRDefault="000E3E4D" w:rsidP="000E3E4D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</w:p>
    <w:p w14:paraId="5BADCCDC" w14:textId="77777777" w:rsidR="00D115DD" w:rsidRPr="00452049" w:rsidRDefault="00D115DD" w:rsidP="000E3E4D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</w:p>
    <w:tbl>
      <w:tblPr>
        <w:tblW w:w="11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402"/>
        <w:gridCol w:w="992"/>
        <w:gridCol w:w="2977"/>
        <w:gridCol w:w="1500"/>
        <w:gridCol w:w="1590"/>
      </w:tblGrid>
      <w:tr w:rsidR="00D115DD" w:rsidRPr="00EE37B4" w14:paraId="63596206" w14:textId="77777777" w:rsidTr="00EE11A3">
        <w:trPr>
          <w:jc w:val="center"/>
        </w:trPr>
        <w:tc>
          <w:tcPr>
            <w:tcW w:w="562" w:type="dxa"/>
          </w:tcPr>
          <w:p w14:paraId="359905E4" w14:textId="77777777" w:rsidR="00D115DD" w:rsidRPr="00452049" w:rsidRDefault="00D115DD" w:rsidP="00DF421A">
            <w:pPr>
              <w:jc w:val="center"/>
              <w:rPr>
                <w:b/>
                <w:lang w:val="uk-UA"/>
              </w:rPr>
            </w:pPr>
            <w:r w:rsidRPr="00452049">
              <w:rPr>
                <w:b/>
                <w:lang w:val="uk-UA"/>
              </w:rPr>
              <w:t>№</w:t>
            </w:r>
          </w:p>
        </w:tc>
        <w:tc>
          <w:tcPr>
            <w:tcW w:w="3402" w:type="dxa"/>
          </w:tcPr>
          <w:p w14:paraId="4A83B9DE" w14:textId="77777777" w:rsidR="00D115DD" w:rsidRPr="00452049" w:rsidRDefault="00D115DD" w:rsidP="00DF421A">
            <w:pPr>
              <w:jc w:val="center"/>
              <w:rPr>
                <w:b/>
                <w:lang w:val="uk-UA"/>
              </w:rPr>
            </w:pPr>
            <w:r w:rsidRPr="00452049">
              <w:rPr>
                <w:b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14:paraId="3A7E62C6" w14:textId="77777777" w:rsidR="00D115DD" w:rsidRPr="00452049" w:rsidRDefault="00D115DD" w:rsidP="00DF421A">
            <w:pPr>
              <w:jc w:val="center"/>
              <w:rPr>
                <w:b/>
                <w:lang w:val="uk-UA"/>
              </w:rPr>
            </w:pPr>
            <w:r w:rsidRPr="00452049">
              <w:rPr>
                <w:b/>
                <w:lang w:val="uk-UA"/>
              </w:rPr>
              <w:t>Кількість</w:t>
            </w:r>
          </w:p>
        </w:tc>
        <w:tc>
          <w:tcPr>
            <w:tcW w:w="2977" w:type="dxa"/>
          </w:tcPr>
          <w:p w14:paraId="1DA019B4" w14:textId="77777777" w:rsidR="00D115DD" w:rsidRPr="00452049" w:rsidRDefault="00D115DD">
            <w:pPr>
              <w:jc w:val="center"/>
              <w:rPr>
                <w:b/>
                <w:lang w:val="uk-UA"/>
              </w:rPr>
            </w:pPr>
            <w:r w:rsidRPr="00452049">
              <w:rPr>
                <w:b/>
                <w:lang w:val="uk-UA"/>
              </w:rPr>
              <w:t>Технічні характеристики</w:t>
            </w:r>
          </w:p>
        </w:tc>
        <w:tc>
          <w:tcPr>
            <w:tcW w:w="1500" w:type="dxa"/>
          </w:tcPr>
          <w:p w14:paraId="2206C4B7" w14:textId="20FBC8EB" w:rsidR="00D115DD" w:rsidRPr="00452049" w:rsidRDefault="001A01AD">
            <w:pPr>
              <w:jc w:val="center"/>
              <w:rPr>
                <w:b/>
                <w:lang w:val="uk-UA"/>
              </w:rPr>
            </w:pPr>
            <w:r w:rsidRPr="00452049">
              <w:rPr>
                <w:b/>
                <w:lang w:val="uk-UA"/>
              </w:rPr>
              <w:t xml:space="preserve">Вартість </w:t>
            </w:r>
            <w:r w:rsidR="002717B2">
              <w:rPr>
                <w:b/>
                <w:lang w:val="uk-UA"/>
              </w:rPr>
              <w:t>за од.</w:t>
            </w:r>
            <w:r w:rsidR="00EC7172">
              <w:rPr>
                <w:b/>
                <w:lang w:val="uk-UA"/>
              </w:rPr>
              <w:t xml:space="preserve">, </w:t>
            </w:r>
            <w:r w:rsidR="00EE11A3" w:rsidRPr="00EE11A3">
              <w:rPr>
                <w:b/>
                <w:lang w:val="uk-UA"/>
              </w:rPr>
              <w:t xml:space="preserve">долар США </w:t>
            </w:r>
            <w:r w:rsidR="00EC7172">
              <w:rPr>
                <w:b/>
                <w:lang w:val="uk-UA"/>
              </w:rPr>
              <w:t>без ПДВ</w:t>
            </w:r>
          </w:p>
        </w:tc>
        <w:tc>
          <w:tcPr>
            <w:tcW w:w="1590" w:type="dxa"/>
          </w:tcPr>
          <w:p w14:paraId="78B56E67" w14:textId="0EEC7842" w:rsidR="00D115DD" w:rsidRPr="00452049" w:rsidRDefault="002717B2" w:rsidP="00DF421A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 w:eastAsia="uk-UA"/>
              </w:rPr>
              <w:t>Разом</w:t>
            </w:r>
            <w:r w:rsidR="00EC7172">
              <w:rPr>
                <w:b/>
                <w:bCs/>
                <w:lang w:val="uk-UA" w:eastAsia="uk-UA"/>
              </w:rPr>
              <w:t xml:space="preserve">, </w:t>
            </w:r>
            <w:r w:rsidR="00EE11A3" w:rsidRPr="00EE11A3">
              <w:rPr>
                <w:b/>
                <w:bCs/>
                <w:lang w:val="uk-UA" w:eastAsia="uk-UA"/>
              </w:rPr>
              <w:t>долар США</w:t>
            </w:r>
            <w:r w:rsidR="00EC7172">
              <w:rPr>
                <w:b/>
                <w:bCs/>
                <w:lang w:val="uk-UA" w:eastAsia="uk-UA"/>
              </w:rPr>
              <w:t xml:space="preserve"> без ПДВ</w:t>
            </w:r>
          </w:p>
        </w:tc>
      </w:tr>
      <w:tr w:rsidR="004D42A5" w:rsidRPr="00452049" w14:paraId="52879708" w14:textId="77777777" w:rsidTr="00EE11A3">
        <w:trPr>
          <w:trHeight w:val="20"/>
          <w:jc w:val="center"/>
        </w:trPr>
        <w:tc>
          <w:tcPr>
            <w:tcW w:w="562" w:type="dxa"/>
          </w:tcPr>
          <w:p w14:paraId="77125CB7" w14:textId="77777777" w:rsidR="004D42A5" w:rsidRPr="00EE11A3" w:rsidRDefault="004D42A5" w:rsidP="004D42A5">
            <w:pPr>
              <w:pStyle w:val="ListParagraph"/>
              <w:numPr>
                <w:ilvl w:val="0"/>
                <w:numId w:val="3"/>
              </w:numPr>
              <w:ind w:left="447"/>
              <w:rPr>
                <w:lang w:val="ru-RU"/>
              </w:rPr>
            </w:pPr>
          </w:p>
        </w:tc>
        <w:tc>
          <w:tcPr>
            <w:tcW w:w="3402" w:type="dxa"/>
          </w:tcPr>
          <w:p w14:paraId="167BBED6" w14:textId="00E8719A" w:rsidR="004D42A5" w:rsidRPr="00452049" w:rsidRDefault="004D42A5" w:rsidP="00EE11A3">
            <w:pPr>
              <w:pStyle w:val="p42"/>
              <w:contextualSpacing/>
              <w:rPr>
                <w:lang w:val="uk-UA"/>
              </w:rPr>
            </w:pP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Ion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AmpliSeq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>™ SARS‐CoV‐2</w:t>
            </w:r>
            <w:r w:rsidR="00EE11A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Insight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Research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Assay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 ‐ GS</w:t>
            </w:r>
            <w:r w:rsidR="00EE11A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Manual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 (A51305)</w:t>
            </w:r>
            <w:r w:rsidR="00EE11A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A57C8">
              <w:rPr>
                <w:rFonts w:ascii="Times New Roman" w:hAnsi="Times New Roman" w:cs="Times New Roman"/>
                <w:lang w:val="uk-UA"/>
              </w:rPr>
              <w:t xml:space="preserve">+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Ion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AmpliSeq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™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Library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Kit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 xml:space="preserve"> Plus</w:t>
            </w:r>
            <w:r w:rsidR="00EE11A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A57C8">
              <w:rPr>
                <w:rFonts w:ascii="Times New Roman" w:hAnsi="Times New Roman" w:cs="Times New Roman"/>
                <w:lang w:val="uk-UA"/>
              </w:rPr>
              <w:t xml:space="preserve">(96 </w:t>
            </w:r>
            <w:proofErr w:type="spellStart"/>
            <w:r w:rsidRPr="004A57C8">
              <w:rPr>
                <w:rFonts w:ascii="Times New Roman" w:hAnsi="Times New Roman" w:cs="Times New Roman"/>
                <w:lang w:val="uk-UA"/>
              </w:rPr>
              <w:t>reactions</w:t>
            </w:r>
            <w:proofErr w:type="spellEnd"/>
            <w:r w:rsidRPr="004A57C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92" w:type="dxa"/>
          </w:tcPr>
          <w:p w14:paraId="2454D004" w14:textId="428E80A7" w:rsidR="004D42A5" w:rsidRPr="00840112" w:rsidRDefault="00840112" w:rsidP="004D42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14:paraId="64BCECBD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00" w:type="dxa"/>
          </w:tcPr>
          <w:p w14:paraId="3ED2ECD8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90" w:type="dxa"/>
          </w:tcPr>
          <w:p w14:paraId="3CD500AC" w14:textId="77777777" w:rsidR="004D42A5" w:rsidRPr="00452049" w:rsidRDefault="004D42A5" w:rsidP="004D42A5">
            <w:pPr>
              <w:rPr>
                <w:lang w:val="uk-UA"/>
              </w:rPr>
            </w:pPr>
          </w:p>
        </w:tc>
      </w:tr>
      <w:tr w:rsidR="004D42A5" w:rsidRPr="00452049" w14:paraId="0F709EA2" w14:textId="77777777" w:rsidTr="00EE11A3">
        <w:trPr>
          <w:trHeight w:val="20"/>
          <w:jc w:val="center"/>
        </w:trPr>
        <w:tc>
          <w:tcPr>
            <w:tcW w:w="562" w:type="dxa"/>
          </w:tcPr>
          <w:p w14:paraId="271E9386" w14:textId="77777777" w:rsidR="004D42A5" w:rsidRPr="00452049" w:rsidRDefault="004D42A5" w:rsidP="004D42A5">
            <w:pPr>
              <w:pStyle w:val="ListParagraph"/>
              <w:numPr>
                <w:ilvl w:val="0"/>
                <w:numId w:val="3"/>
              </w:numPr>
              <w:ind w:left="447"/>
            </w:pPr>
          </w:p>
        </w:tc>
        <w:tc>
          <w:tcPr>
            <w:tcW w:w="3402" w:type="dxa"/>
          </w:tcPr>
          <w:p w14:paraId="5B0E5452" w14:textId="2C6A5A84" w:rsidR="004D42A5" w:rsidRPr="00452049" w:rsidRDefault="004D42A5" w:rsidP="00EE11A3">
            <w:pPr>
              <w:pStyle w:val="p42"/>
              <w:contextualSpacing/>
              <w:rPr>
                <w:lang w:val="uk-UA"/>
              </w:rPr>
            </w:pP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Template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preparation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="00EE11A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sequencing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reagents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Ion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 520™ &amp;</w:t>
            </w: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Ion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 530™ Kit‐OT2 (A27751)</w:t>
            </w:r>
          </w:p>
        </w:tc>
        <w:tc>
          <w:tcPr>
            <w:tcW w:w="992" w:type="dxa"/>
          </w:tcPr>
          <w:p w14:paraId="4FC5A30F" w14:textId="0F42B8DB" w:rsidR="004D42A5" w:rsidRPr="00840112" w:rsidRDefault="00840112" w:rsidP="004D42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14:paraId="6C0D450C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00" w:type="dxa"/>
          </w:tcPr>
          <w:p w14:paraId="541ECBF4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90" w:type="dxa"/>
          </w:tcPr>
          <w:p w14:paraId="3C832D60" w14:textId="77777777" w:rsidR="004D42A5" w:rsidRPr="00452049" w:rsidRDefault="004D42A5" w:rsidP="004D42A5">
            <w:pPr>
              <w:rPr>
                <w:lang w:val="uk-UA"/>
              </w:rPr>
            </w:pPr>
          </w:p>
        </w:tc>
      </w:tr>
      <w:tr w:rsidR="004D42A5" w:rsidRPr="00452049" w14:paraId="702D72FF" w14:textId="77777777" w:rsidTr="00EE11A3">
        <w:trPr>
          <w:trHeight w:val="20"/>
          <w:jc w:val="center"/>
        </w:trPr>
        <w:tc>
          <w:tcPr>
            <w:tcW w:w="562" w:type="dxa"/>
          </w:tcPr>
          <w:p w14:paraId="6592EF7C" w14:textId="77777777" w:rsidR="004D42A5" w:rsidRPr="00452049" w:rsidRDefault="004D42A5" w:rsidP="004D42A5">
            <w:pPr>
              <w:pStyle w:val="ListParagraph"/>
              <w:numPr>
                <w:ilvl w:val="0"/>
                <w:numId w:val="3"/>
              </w:numPr>
              <w:ind w:left="447"/>
            </w:pPr>
          </w:p>
        </w:tc>
        <w:tc>
          <w:tcPr>
            <w:tcW w:w="3402" w:type="dxa"/>
          </w:tcPr>
          <w:p w14:paraId="50FA56CA" w14:textId="3860D8A8" w:rsidR="004D42A5" w:rsidRPr="00452049" w:rsidRDefault="004D42A5" w:rsidP="00EE11A3">
            <w:pPr>
              <w:pStyle w:val="p42"/>
              <w:contextualSpacing/>
              <w:rPr>
                <w:lang w:val="uk-UA"/>
              </w:rPr>
            </w:pP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Ion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 530™ </w:t>
            </w: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Chip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Kit</w:t>
            </w:r>
            <w:proofErr w:type="spellEnd"/>
            <w:r w:rsidRPr="002856E4">
              <w:rPr>
                <w:rFonts w:ascii="Times New Roman" w:hAnsi="Times New Roman" w:cs="Times New Roman"/>
                <w:lang w:val="uk-UA"/>
              </w:rPr>
              <w:t xml:space="preserve">, 8 </w:t>
            </w:r>
            <w:proofErr w:type="spellStart"/>
            <w:r w:rsidRPr="002856E4">
              <w:rPr>
                <w:rFonts w:ascii="Times New Roman" w:hAnsi="Times New Roman" w:cs="Times New Roman"/>
                <w:lang w:val="uk-UA"/>
              </w:rPr>
              <w:t>chips</w:t>
            </w:r>
            <w:proofErr w:type="spellEnd"/>
            <w:r w:rsidR="00EE11A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856E4">
              <w:rPr>
                <w:rFonts w:ascii="Times New Roman" w:hAnsi="Times New Roman" w:cs="Times New Roman"/>
                <w:lang w:val="uk-UA"/>
              </w:rPr>
              <w:t>(A27764)</w:t>
            </w:r>
          </w:p>
        </w:tc>
        <w:tc>
          <w:tcPr>
            <w:tcW w:w="992" w:type="dxa"/>
          </w:tcPr>
          <w:p w14:paraId="2EE06F0E" w14:textId="43841D70" w:rsidR="004D42A5" w:rsidRPr="00840112" w:rsidRDefault="00840112" w:rsidP="004D42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14:paraId="73114699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00" w:type="dxa"/>
          </w:tcPr>
          <w:p w14:paraId="78CE459A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90" w:type="dxa"/>
          </w:tcPr>
          <w:p w14:paraId="1C51260D" w14:textId="77777777" w:rsidR="004D42A5" w:rsidRPr="00452049" w:rsidRDefault="004D42A5" w:rsidP="004D42A5">
            <w:pPr>
              <w:rPr>
                <w:lang w:val="uk-UA"/>
              </w:rPr>
            </w:pPr>
          </w:p>
        </w:tc>
      </w:tr>
      <w:tr w:rsidR="004D42A5" w:rsidRPr="00452049" w14:paraId="3920DFA1" w14:textId="77777777" w:rsidTr="00EE11A3">
        <w:trPr>
          <w:trHeight w:val="20"/>
          <w:jc w:val="center"/>
        </w:trPr>
        <w:tc>
          <w:tcPr>
            <w:tcW w:w="562" w:type="dxa"/>
          </w:tcPr>
          <w:p w14:paraId="722EBEE9" w14:textId="77777777" w:rsidR="004D42A5" w:rsidRPr="00452049" w:rsidRDefault="004D42A5" w:rsidP="004D42A5">
            <w:pPr>
              <w:pStyle w:val="ListParagraph"/>
              <w:numPr>
                <w:ilvl w:val="0"/>
                <w:numId w:val="3"/>
              </w:numPr>
              <w:ind w:left="447"/>
            </w:pPr>
          </w:p>
        </w:tc>
        <w:tc>
          <w:tcPr>
            <w:tcW w:w="3402" w:type="dxa"/>
          </w:tcPr>
          <w:p w14:paraId="065EEC0E" w14:textId="03DCAE57" w:rsidR="004D42A5" w:rsidRPr="00452049" w:rsidRDefault="004D42A5" w:rsidP="004D42A5">
            <w:pPr>
              <w:ind w:left="61" w:hanging="61"/>
              <w:rPr>
                <w:lang w:val="uk-UA"/>
              </w:rPr>
            </w:pPr>
            <w:proofErr w:type="spellStart"/>
            <w:r w:rsidRPr="002856E4">
              <w:rPr>
                <w:lang w:val="uk-UA" w:eastAsia="ru-RU"/>
              </w:rPr>
              <w:t>Qubit</w:t>
            </w:r>
            <w:proofErr w:type="spellEnd"/>
            <w:r w:rsidRPr="002856E4">
              <w:rPr>
                <w:lang w:val="uk-UA" w:eastAsia="ru-RU"/>
              </w:rPr>
              <w:t xml:space="preserve">™ 1X </w:t>
            </w:r>
            <w:proofErr w:type="spellStart"/>
            <w:r w:rsidRPr="002856E4">
              <w:rPr>
                <w:lang w:val="uk-UA" w:eastAsia="ru-RU"/>
              </w:rPr>
              <w:t>dsDNA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Assay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Kits</w:t>
            </w:r>
            <w:proofErr w:type="spellEnd"/>
            <w:r w:rsidRPr="002856E4">
              <w:rPr>
                <w:lang w:val="uk-UA" w:eastAsia="ru-RU"/>
              </w:rPr>
              <w:t xml:space="preserve">, </w:t>
            </w:r>
            <w:proofErr w:type="spellStart"/>
            <w:r w:rsidRPr="002856E4">
              <w:rPr>
                <w:lang w:val="uk-UA" w:eastAsia="ru-RU"/>
              </w:rPr>
              <w:t>high</w:t>
            </w:r>
            <w:proofErr w:type="spellEnd"/>
            <w:r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sensitivity</w:t>
            </w:r>
            <w:proofErr w:type="spellEnd"/>
            <w:r w:rsidRPr="002856E4">
              <w:rPr>
                <w:lang w:val="uk-UA" w:eastAsia="ru-RU"/>
              </w:rPr>
              <w:t xml:space="preserve"> (HS) </w:t>
            </w:r>
            <w:proofErr w:type="spellStart"/>
            <w:r w:rsidRPr="002856E4">
              <w:rPr>
                <w:lang w:val="uk-UA" w:eastAsia="ru-RU"/>
              </w:rPr>
              <w:t>and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broad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range</w:t>
            </w:r>
            <w:proofErr w:type="spellEnd"/>
            <w:r>
              <w:rPr>
                <w:lang w:val="uk-UA" w:eastAsia="ru-RU"/>
              </w:rPr>
              <w:t xml:space="preserve"> </w:t>
            </w:r>
            <w:r w:rsidRPr="002856E4">
              <w:rPr>
                <w:lang w:val="uk-UA"/>
              </w:rPr>
              <w:t>(BR) (Q33231)</w:t>
            </w:r>
          </w:p>
        </w:tc>
        <w:tc>
          <w:tcPr>
            <w:tcW w:w="992" w:type="dxa"/>
          </w:tcPr>
          <w:p w14:paraId="02928EDC" w14:textId="0BC99810" w:rsidR="004D42A5" w:rsidRPr="00840112" w:rsidRDefault="00840112" w:rsidP="004D42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14:paraId="4B7F431F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00" w:type="dxa"/>
          </w:tcPr>
          <w:p w14:paraId="6C3ED4C1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90" w:type="dxa"/>
          </w:tcPr>
          <w:p w14:paraId="4174CE73" w14:textId="77777777" w:rsidR="004D42A5" w:rsidRPr="00452049" w:rsidRDefault="004D42A5" w:rsidP="004D42A5">
            <w:pPr>
              <w:rPr>
                <w:lang w:val="uk-UA"/>
              </w:rPr>
            </w:pPr>
          </w:p>
        </w:tc>
      </w:tr>
      <w:tr w:rsidR="004D42A5" w:rsidRPr="00452049" w14:paraId="596CB1D9" w14:textId="77777777" w:rsidTr="00EE11A3">
        <w:trPr>
          <w:trHeight w:val="20"/>
          <w:jc w:val="center"/>
        </w:trPr>
        <w:tc>
          <w:tcPr>
            <w:tcW w:w="562" w:type="dxa"/>
          </w:tcPr>
          <w:p w14:paraId="7B14BFF6" w14:textId="77777777" w:rsidR="004D42A5" w:rsidRPr="00452049" w:rsidRDefault="004D42A5" w:rsidP="004D42A5">
            <w:pPr>
              <w:pStyle w:val="ListParagraph"/>
              <w:numPr>
                <w:ilvl w:val="0"/>
                <w:numId w:val="3"/>
              </w:numPr>
              <w:ind w:left="447"/>
            </w:pPr>
          </w:p>
        </w:tc>
        <w:tc>
          <w:tcPr>
            <w:tcW w:w="3402" w:type="dxa"/>
          </w:tcPr>
          <w:p w14:paraId="66153567" w14:textId="68EDC41E" w:rsidR="004D42A5" w:rsidRPr="00452049" w:rsidRDefault="004D42A5" w:rsidP="00EE11A3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2856E4">
              <w:rPr>
                <w:lang w:val="uk-UA" w:eastAsia="ru-RU"/>
              </w:rPr>
              <w:t>Thin‐walled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polypropylene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tubes</w:t>
            </w:r>
            <w:proofErr w:type="spellEnd"/>
            <w:r w:rsidR="00EE11A3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with</w:t>
            </w:r>
            <w:proofErr w:type="spellEnd"/>
            <w:r w:rsidRPr="002856E4">
              <w:rPr>
                <w:lang w:val="uk-UA" w:eastAsia="ru-RU"/>
              </w:rPr>
              <w:t xml:space="preserve"> a </w:t>
            </w:r>
            <w:proofErr w:type="spellStart"/>
            <w:r w:rsidRPr="002856E4">
              <w:rPr>
                <w:lang w:val="uk-UA" w:eastAsia="ru-RU"/>
              </w:rPr>
              <w:t>volume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of</w:t>
            </w:r>
            <w:proofErr w:type="spellEnd"/>
            <w:r w:rsidRPr="002856E4">
              <w:rPr>
                <w:lang w:val="uk-UA" w:eastAsia="ru-RU"/>
              </w:rPr>
              <w:t xml:space="preserve"> 500 </w:t>
            </w:r>
            <w:proofErr w:type="spellStart"/>
            <w:r w:rsidRPr="002856E4">
              <w:rPr>
                <w:lang w:val="uk-UA" w:eastAsia="ru-RU"/>
              </w:rPr>
              <w:t>μl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Qubit</w:t>
            </w:r>
            <w:proofErr w:type="spellEnd"/>
            <w:r w:rsidRPr="002856E4">
              <w:rPr>
                <w:lang w:val="uk-UA" w:eastAsia="ru-RU"/>
              </w:rPr>
              <w:t>™</w:t>
            </w:r>
            <w:r w:rsidR="00EE11A3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Assay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Tubes</w:t>
            </w:r>
            <w:proofErr w:type="spellEnd"/>
            <w:r w:rsidRPr="002856E4">
              <w:rPr>
                <w:lang w:val="uk-UA" w:eastAsia="ru-RU"/>
              </w:rPr>
              <w:t xml:space="preserve"> (Q32856)</w:t>
            </w:r>
          </w:p>
        </w:tc>
        <w:tc>
          <w:tcPr>
            <w:tcW w:w="992" w:type="dxa"/>
          </w:tcPr>
          <w:p w14:paraId="56AEA621" w14:textId="7AF4B773" w:rsidR="004D42A5" w:rsidRPr="00840112" w:rsidRDefault="00840112" w:rsidP="004D42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14:paraId="0528278B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00" w:type="dxa"/>
          </w:tcPr>
          <w:p w14:paraId="7081B405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90" w:type="dxa"/>
          </w:tcPr>
          <w:p w14:paraId="3AE40A52" w14:textId="77777777" w:rsidR="004D42A5" w:rsidRPr="00452049" w:rsidRDefault="004D42A5" w:rsidP="004D42A5">
            <w:pPr>
              <w:rPr>
                <w:lang w:val="uk-UA"/>
              </w:rPr>
            </w:pPr>
          </w:p>
        </w:tc>
      </w:tr>
      <w:tr w:rsidR="004D42A5" w:rsidRPr="00452049" w14:paraId="64AA3367" w14:textId="77777777" w:rsidTr="00EE11A3">
        <w:trPr>
          <w:trHeight w:val="20"/>
          <w:jc w:val="center"/>
        </w:trPr>
        <w:tc>
          <w:tcPr>
            <w:tcW w:w="562" w:type="dxa"/>
          </w:tcPr>
          <w:p w14:paraId="2ABEB0C5" w14:textId="77777777" w:rsidR="004D42A5" w:rsidRPr="00452049" w:rsidRDefault="004D42A5" w:rsidP="004D42A5">
            <w:pPr>
              <w:pStyle w:val="ListParagraph"/>
              <w:numPr>
                <w:ilvl w:val="0"/>
                <w:numId w:val="3"/>
              </w:numPr>
              <w:ind w:left="447"/>
            </w:pPr>
          </w:p>
        </w:tc>
        <w:tc>
          <w:tcPr>
            <w:tcW w:w="3402" w:type="dxa"/>
          </w:tcPr>
          <w:p w14:paraId="7090406B" w14:textId="556CF8DA" w:rsidR="004D42A5" w:rsidRPr="00452049" w:rsidRDefault="004D42A5" w:rsidP="004D42A5">
            <w:pPr>
              <w:ind w:left="61" w:hanging="61"/>
              <w:rPr>
                <w:lang w:val="uk-UA"/>
              </w:rPr>
            </w:pPr>
            <w:r w:rsidRPr="002856E4">
              <w:rPr>
                <w:lang w:val="uk-UA" w:eastAsia="ru-RU"/>
              </w:rPr>
              <w:t>IONCODE</w:t>
            </w:r>
            <w:r>
              <w:rPr>
                <w:lang w:val="uk-UA" w:eastAsia="ru-RU"/>
              </w:rPr>
              <w:t xml:space="preserve"> </w:t>
            </w:r>
            <w:r w:rsidRPr="002856E4">
              <w:rPr>
                <w:lang w:val="uk-UA" w:eastAsia="ru-RU"/>
              </w:rPr>
              <w:t>ADAPTER KIT, 0501‐0596, 1‐96</w:t>
            </w:r>
            <w:r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Kit</w:t>
            </w:r>
            <w:proofErr w:type="spellEnd"/>
            <w:r w:rsidRPr="002856E4">
              <w:rPr>
                <w:lang w:val="uk-UA" w:eastAsia="ru-RU"/>
              </w:rPr>
              <w:t xml:space="preserve">, 960 </w:t>
            </w:r>
            <w:proofErr w:type="spellStart"/>
            <w:r w:rsidRPr="002856E4">
              <w:rPr>
                <w:lang w:val="uk-UA" w:eastAsia="ru-RU"/>
              </w:rPr>
              <w:t>reactions</w:t>
            </w:r>
            <w:proofErr w:type="spellEnd"/>
            <w:r w:rsidRPr="002856E4">
              <w:rPr>
                <w:lang w:val="uk-UA" w:eastAsia="ru-RU"/>
              </w:rPr>
              <w:t xml:space="preserve"> (A36524)</w:t>
            </w:r>
          </w:p>
        </w:tc>
        <w:tc>
          <w:tcPr>
            <w:tcW w:w="992" w:type="dxa"/>
          </w:tcPr>
          <w:p w14:paraId="69043451" w14:textId="2EE9BB9F" w:rsidR="004D42A5" w:rsidRPr="00840112" w:rsidRDefault="00840112" w:rsidP="004D42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14:paraId="6157F38C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00" w:type="dxa"/>
          </w:tcPr>
          <w:p w14:paraId="06271FD3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90" w:type="dxa"/>
          </w:tcPr>
          <w:p w14:paraId="25FC8C97" w14:textId="77777777" w:rsidR="004D42A5" w:rsidRPr="00452049" w:rsidRDefault="004D42A5" w:rsidP="004D42A5">
            <w:pPr>
              <w:rPr>
                <w:lang w:val="uk-UA"/>
              </w:rPr>
            </w:pPr>
          </w:p>
        </w:tc>
      </w:tr>
      <w:tr w:rsidR="004D42A5" w:rsidRPr="00452049" w14:paraId="4E8DFED7" w14:textId="77777777" w:rsidTr="00EE11A3">
        <w:trPr>
          <w:trHeight w:val="20"/>
          <w:jc w:val="center"/>
        </w:trPr>
        <w:tc>
          <w:tcPr>
            <w:tcW w:w="562" w:type="dxa"/>
          </w:tcPr>
          <w:p w14:paraId="2514FE34" w14:textId="77777777" w:rsidR="004D42A5" w:rsidRPr="00452049" w:rsidRDefault="004D42A5" w:rsidP="004D42A5">
            <w:pPr>
              <w:pStyle w:val="ListParagraph"/>
              <w:numPr>
                <w:ilvl w:val="0"/>
                <w:numId w:val="3"/>
              </w:numPr>
              <w:ind w:left="447"/>
            </w:pPr>
          </w:p>
        </w:tc>
        <w:tc>
          <w:tcPr>
            <w:tcW w:w="3402" w:type="dxa"/>
          </w:tcPr>
          <w:p w14:paraId="3168D155" w14:textId="69E70A22" w:rsidR="004D42A5" w:rsidRPr="00452049" w:rsidRDefault="004D42A5" w:rsidP="00EE11A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856E4">
              <w:rPr>
                <w:lang w:val="uk-UA" w:eastAsia="ru-RU"/>
              </w:rPr>
              <w:t xml:space="preserve">NGS </w:t>
            </w:r>
            <w:proofErr w:type="spellStart"/>
            <w:r w:rsidRPr="002856E4">
              <w:rPr>
                <w:lang w:val="uk-UA" w:eastAsia="ru-RU"/>
              </w:rPr>
              <w:t>Reverse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Transcription</w:t>
            </w:r>
            <w:proofErr w:type="spellEnd"/>
            <w:r w:rsidRPr="002856E4">
              <w:rPr>
                <w:lang w:val="uk-UA" w:eastAsia="ru-RU"/>
              </w:rPr>
              <w:t xml:space="preserve"> </w:t>
            </w:r>
            <w:proofErr w:type="spellStart"/>
            <w:r w:rsidRPr="002856E4">
              <w:rPr>
                <w:lang w:val="uk-UA" w:eastAsia="ru-RU"/>
              </w:rPr>
              <w:t>Kit</w:t>
            </w:r>
            <w:proofErr w:type="spellEnd"/>
            <w:r w:rsidR="00EE11A3">
              <w:rPr>
                <w:lang w:val="uk-UA" w:eastAsia="ru-RU"/>
              </w:rPr>
              <w:t xml:space="preserve"> </w:t>
            </w:r>
            <w:r w:rsidRPr="002856E4">
              <w:rPr>
                <w:lang w:val="uk-UA" w:eastAsia="ru-RU"/>
              </w:rPr>
              <w:t>(A45003)</w:t>
            </w:r>
          </w:p>
        </w:tc>
        <w:tc>
          <w:tcPr>
            <w:tcW w:w="992" w:type="dxa"/>
          </w:tcPr>
          <w:p w14:paraId="1D336573" w14:textId="4FC9535F" w:rsidR="004D42A5" w:rsidRPr="00840112" w:rsidRDefault="00840112" w:rsidP="004D42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14:paraId="57C7AFC3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00" w:type="dxa"/>
          </w:tcPr>
          <w:p w14:paraId="22AEB484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90" w:type="dxa"/>
          </w:tcPr>
          <w:p w14:paraId="234FFC47" w14:textId="77777777" w:rsidR="004D42A5" w:rsidRPr="00452049" w:rsidRDefault="004D42A5" w:rsidP="004D42A5">
            <w:pPr>
              <w:rPr>
                <w:lang w:val="uk-UA"/>
              </w:rPr>
            </w:pPr>
          </w:p>
        </w:tc>
      </w:tr>
      <w:tr w:rsidR="004D42A5" w:rsidRPr="00452049" w14:paraId="385D14D5" w14:textId="77777777" w:rsidTr="00EE11A3">
        <w:trPr>
          <w:trHeight w:val="20"/>
          <w:jc w:val="center"/>
        </w:trPr>
        <w:tc>
          <w:tcPr>
            <w:tcW w:w="562" w:type="dxa"/>
          </w:tcPr>
          <w:p w14:paraId="4EA86998" w14:textId="77777777" w:rsidR="004D42A5" w:rsidRPr="00452049" w:rsidRDefault="004D42A5" w:rsidP="004D42A5">
            <w:pPr>
              <w:pStyle w:val="ListParagraph"/>
              <w:numPr>
                <w:ilvl w:val="0"/>
                <w:numId w:val="3"/>
              </w:numPr>
              <w:ind w:left="447"/>
            </w:pPr>
          </w:p>
        </w:tc>
        <w:tc>
          <w:tcPr>
            <w:tcW w:w="3402" w:type="dxa"/>
          </w:tcPr>
          <w:p w14:paraId="1BF36815" w14:textId="0C7A7688" w:rsidR="004D42A5" w:rsidRPr="00A16146" w:rsidRDefault="004D42A5" w:rsidP="004D42A5">
            <w:pPr>
              <w:autoSpaceDE w:val="0"/>
              <w:autoSpaceDN w:val="0"/>
              <w:adjustRightInd w:val="0"/>
              <w:rPr>
                <w:lang w:val="uk-UA" w:eastAsia="ru-RU"/>
              </w:rPr>
            </w:pPr>
            <w:proofErr w:type="spellStart"/>
            <w:r w:rsidRPr="00A16146">
              <w:rPr>
                <w:lang w:val="uk-UA" w:eastAsia="ru-RU"/>
              </w:rPr>
              <w:t>MagMAX</w:t>
            </w:r>
            <w:proofErr w:type="spellEnd"/>
            <w:r w:rsidRPr="00A16146">
              <w:rPr>
                <w:lang w:val="uk-UA" w:eastAsia="ru-RU"/>
              </w:rPr>
              <w:t xml:space="preserve">™ </w:t>
            </w:r>
            <w:proofErr w:type="spellStart"/>
            <w:r w:rsidRPr="00A16146">
              <w:rPr>
                <w:lang w:val="uk-UA" w:eastAsia="ru-RU"/>
              </w:rPr>
              <w:t>Viral</w:t>
            </w:r>
            <w:proofErr w:type="spellEnd"/>
            <w:r w:rsidRPr="00A16146">
              <w:rPr>
                <w:lang w:val="uk-UA" w:eastAsia="ru-RU"/>
              </w:rPr>
              <w:t>/</w:t>
            </w:r>
            <w:proofErr w:type="spellStart"/>
            <w:r w:rsidRPr="00A16146">
              <w:rPr>
                <w:lang w:val="uk-UA" w:eastAsia="ru-RU"/>
              </w:rPr>
              <w:t>Pathogen</w:t>
            </w:r>
            <w:proofErr w:type="spellEnd"/>
            <w:r w:rsidR="00EE11A3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Nucleic</w:t>
            </w:r>
            <w:proofErr w:type="spellEnd"/>
            <w:r w:rsidRPr="00A16146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Acid</w:t>
            </w:r>
            <w:proofErr w:type="spellEnd"/>
            <w:r w:rsidRPr="00A16146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Isolation</w:t>
            </w:r>
            <w:proofErr w:type="spellEnd"/>
            <w:r w:rsidRPr="00A16146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Kit</w:t>
            </w:r>
            <w:proofErr w:type="spellEnd"/>
            <w:r w:rsidRPr="00A16146">
              <w:rPr>
                <w:lang w:val="uk-UA" w:eastAsia="ru-RU"/>
              </w:rPr>
              <w:t xml:space="preserve"> (200</w:t>
            </w:r>
            <w:r w:rsidR="00EE11A3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reactions</w:t>
            </w:r>
            <w:proofErr w:type="spellEnd"/>
            <w:r w:rsidRPr="00A16146">
              <w:rPr>
                <w:lang w:val="uk-UA" w:eastAsia="ru-RU"/>
              </w:rPr>
              <w:t>)</w:t>
            </w:r>
          </w:p>
          <w:p w14:paraId="2DE7C7B5" w14:textId="63ECB782" w:rsidR="004D42A5" w:rsidRPr="00452049" w:rsidRDefault="004D42A5" w:rsidP="004D42A5">
            <w:pPr>
              <w:ind w:left="61" w:hanging="61"/>
              <w:rPr>
                <w:lang w:val="uk-UA"/>
              </w:rPr>
            </w:pPr>
            <w:r w:rsidRPr="00A16146">
              <w:rPr>
                <w:lang w:val="uk-UA" w:eastAsia="ru-RU"/>
              </w:rPr>
              <w:t>(A42352)</w:t>
            </w:r>
          </w:p>
        </w:tc>
        <w:tc>
          <w:tcPr>
            <w:tcW w:w="992" w:type="dxa"/>
          </w:tcPr>
          <w:p w14:paraId="2FE53C47" w14:textId="2DB3D5B0" w:rsidR="004D42A5" w:rsidRPr="00840112" w:rsidRDefault="00840112" w:rsidP="004D42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14:paraId="08463B40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00" w:type="dxa"/>
          </w:tcPr>
          <w:p w14:paraId="095BB65C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90" w:type="dxa"/>
          </w:tcPr>
          <w:p w14:paraId="1E6F8C10" w14:textId="77777777" w:rsidR="004D42A5" w:rsidRPr="00452049" w:rsidRDefault="004D42A5" w:rsidP="004D42A5">
            <w:pPr>
              <w:rPr>
                <w:lang w:val="uk-UA"/>
              </w:rPr>
            </w:pPr>
          </w:p>
        </w:tc>
      </w:tr>
      <w:tr w:rsidR="004D42A5" w:rsidRPr="00452049" w14:paraId="3FA558ED" w14:textId="77777777" w:rsidTr="00EE11A3">
        <w:trPr>
          <w:trHeight w:val="20"/>
          <w:jc w:val="center"/>
        </w:trPr>
        <w:tc>
          <w:tcPr>
            <w:tcW w:w="562" w:type="dxa"/>
          </w:tcPr>
          <w:p w14:paraId="41230A5E" w14:textId="77777777" w:rsidR="004D42A5" w:rsidRPr="00452049" w:rsidRDefault="004D42A5" w:rsidP="004D42A5">
            <w:pPr>
              <w:pStyle w:val="ListParagraph"/>
              <w:numPr>
                <w:ilvl w:val="0"/>
                <w:numId w:val="3"/>
              </w:numPr>
              <w:ind w:left="447"/>
            </w:pPr>
          </w:p>
        </w:tc>
        <w:tc>
          <w:tcPr>
            <w:tcW w:w="3402" w:type="dxa"/>
          </w:tcPr>
          <w:p w14:paraId="785183F9" w14:textId="08FC5BD5" w:rsidR="004D42A5" w:rsidRPr="00452049" w:rsidRDefault="004D42A5" w:rsidP="00EE11A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16146">
              <w:rPr>
                <w:lang w:val="uk-UA" w:eastAsia="ru-RU"/>
              </w:rPr>
              <w:t xml:space="preserve">0.2 </w:t>
            </w:r>
            <w:proofErr w:type="spellStart"/>
            <w:r w:rsidRPr="00A16146">
              <w:rPr>
                <w:lang w:val="uk-UA" w:eastAsia="ru-RU"/>
              </w:rPr>
              <w:t>mL</w:t>
            </w:r>
            <w:proofErr w:type="spellEnd"/>
            <w:r w:rsidRPr="00A16146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Individual</w:t>
            </w:r>
            <w:proofErr w:type="spellEnd"/>
            <w:r w:rsidRPr="00A16146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Tubes</w:t>
            </w:r>
            <w:proofErr w:type="spellEnd"/>
            <w:r w:rsidRPr="00A16146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with</w:t>
            </w:r>
            <w:proofErr w:type="spellEnd"/>
            <w:r w:rsidRPr="00A16146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flat</w:t>
            </w:r>
            <w:proofErr w:type="spellEnd"/>
            <w:r w:rsidR="00EE11A3">
              <w:rPr>
                <w:lang w:val="uk-UA" w:eastAsia="ru-RU"/>
              </w:rPr>
              <w:t xml:space="preserve"> </w:t>
            </w:r>
            <w:proofErr w:type="spellStart"/>
            <w:r w:rsidRPr="00A16146">
              <w:rPr>
                <w:lang w:val="uk-UA" w:eastAsia="ru-RU"/>
              </w:rPr>
              <w:t>cap</w:t>
            </w:r>
            <w:proofErr w:type="spellEnd"/>
            <w:r w:rsidRPr="00A16146">
              <w:rPr>
                <w:lang w:val="uk-UA" w:eastAsia="ru-RU"/>
              </w:rPr>
              <w:t xml:space="preserve">, </w:t>
            </w:r>
            <w:proofErr w:type="spellStart"/>
            <w:r w:rsidRPr="00A16146">
              <w:rPr>
                <w:lang w:val="uk-UA" w:eastAsia="ru-RU"/>
              </w:rPr>
              <w:t>for</w:t>
            </w:r>
            <w:proofErr w:type="spellEnd"/>
            <w:r w:rsidRPr="00A16146">
              <w:rPr>
                <w:lang w:val="uk-UA" w:eastAsia="ru-RU"/>
              </w:rPr>
              <w:t xml:space="preserve"> RT‐PCR AB0620</w:t>
            </w:r>
          </w:p>
        </w:tc>
        <w:tc>
          <w:tcPr>
            <w:tcW w:w="992" w:type="dxa"/>
          </w:tcPr>
          <w:p w14:paraId="6A40E0C4" w14:textId="59FDB0DD" w:rsidR="004D42A5" w:rsidRPr="00840112" w:rsidRDefault="00840112" w:rsidP="004D42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14:paraId="55FB9C0A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00" w:type="dxa"/>
          </w:tcPr>
          <w:p w14:paraId="309E077F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90" w:type="dxa"/>
          </w:tcPr>
          <w:p w14:paraId="39926123" w14:textId="77777777" w:rsidR="004D42A5" w:rsidRPr="00452049" w:rsidRDefault="004D42A5" w:rsidP="004D42A5">
            <w:pPr>
              <w:rPr>
                <w:lang w:val="uk-UA"/>
              </w:rPr>
            </w:pPr>
          </w:p>
        </w:tc>
      </w:tr>
      <w:tr w:rsidR="004D42A5" w:rsidRPr="00452049" w14:paraId="535B9383" w14:textId="77777777" w:rsidTr="00EE11A3">
        <w:trPr>
          <w:trHeight w:val="20"/>
          <w:jc w:val="center"/>
        </w:trPr>
        <w:tc>
          <w:tcPr>
            <w:tcW w:w="562" w:type="dxa"/>
          </w:tcPr>
          <w:p w14:paraId="78E4A724" w14:textId="77777777" w:rsidR="004D42A5" w:rsidRPr="00452049" w:rsidRDefault="004D42A5" w:rsidP="004D42A5">
            <w:pPr>
              <w:pStyle w:val="ListParagraph"/>
              <w:numPr>
                <w:ilvl w:val="0"/>
                <w:numId w:val="3"/>
              </w:numPr>
              <w:ind w:left="447"/>
            </w:pPr>
          </w:p>
        </w:tc>
        <w:tc>
          <w:tcPr>
            <w:tcW w:w="3402" w:type="dxa"/>
          </w:tcPr>
          <w:p w14:paraId="76ED07A9" w14:textId="5DDE6892" w:rsidR="004D42A5" w:rsidRDefault="004D42A5" w:rsidP="00EE11A3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A16146">
              <w:rPr>
                <w:lang w:eastAsia="ru-RU"/>
              </w:rPr>
              <w:t>MicroAmp</w:t>
            </w:r>
            <w:proofErr w:type="spellEnd"/>
            <w:r w:rsidRPr="00A16146">
              <w:rPr>
                <w:lang w:eastAsia="ru-RU"/>
              </w:rPr>
              <w:t>™ Optical 8‐Tube Strip</w:t>
            </w:r>
            <w:r w:rsidR="00EE11A3">
              <w:rPr>
                <w:lang w:val="uk-UA" w:eastAsia="ru-RU"/>
              </w:rPr>
              <w:t xml:space="preserve"> </w:t>
            </w:r>
            <w:r w:rsidRPr="00A16146">
              <w:rPr>
                <w:lang w:eastAsia="ru-RU"/>
              </w:rPr>
              <w:t>4316567</w:t>
            </w:r>
          </w:p>
        </w:tc>
        <w:tc>
          <w:tcPr>
            <w:tcW w:w="992" w:type="dxa"/>
          </w:tcPr>
          <w:p w14:paraId="7E4BDAB2" w14:textId="129C8F51" w:rsidR="004D42A5" w:rsidRPr="00840112" w:rsidRDefault="00840112" w:rsidP="004D42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14:paraId="3F11EC0E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00" w:type="dxa"/>
          </w:tcPr>
          <w:p w14:paraId="2D99A5A3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90" w:type="dxa"/>
          </w:tcPr>
          <w:p w14:paraId="7A741BCD" w14:textId="77777777" w:rsidR="004D42A5" w:rsidRPr="00452049" w:rsidRDefault="004D42A5" w:rsidP="004D42A5">
            <w:pPr>
              <w:rPr>
                <w:lang w:val="uk-UA"/>
              </w:rPr>
            </w:pPr>
          </w:p>
        </w:tc>
      </w:tr>
      <w:tr w:rsidR="004D42A5" w:rsidRPr="00452049" w14:paraId="5314C939" w14:textId="77777777" w:rsidTr="00EE11A3">
        <w:trPr>
          <w:trHeight w:val="20"/>
          <w:jc w:val="center"/>
        </w:trPr>
        <w:tc>
          <w:tcPr>
            <w:tcW w:w="562" w:type="dxa"/>
          </w:tcPr>
          <w:p w14:paraId="7AFFBE47" w14:textId="77777777" w:rsidR="004D42A5" w:rsidRPr="00452049" w:rsidRDefault="004D42A5" w:rsidP="004D42A5">
            <w:pPr>
              <w:pStyle w:val="ListParagraph"/>
              <w:numPr>
                <w:ilvl w:val="0"/>
                <w:numId w:val="3"/>
              </w:numPr>
              <w:ind w:left="447"/>
            </w:pPr>
          </w:p>
        </w:tc>
        <w:tc>
          <w:tcPr>
            <w:tcW w:w="3402" w:type="dxa"/>
          </w:tcPr>
          <w:p w14:paraId="40339BC2" w14:textId="4F5E27A3" w:rsidR="004D42A5" w:rsidRDefault="004D42A5" w:rsidP="00EE11A3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eastAsia="ru-RU"/>
              </w:rPr>
              <w:t>MicroAmp</w:t>
            </w:r>
            <w:proofErr w:type="spellEnd"/>
            <w:r>
              <w:rPr>
                <w:lang w:eastAsia="ru-RU"/>
              </w:rPr>
              <w:t xml:space="preserve"> TM Optical 8‐Cap</w:t>
            </w:r>
            <w:r w:rsidR="00EE11A3">
              <w:rPr>
                <w:lang w:val="uk-UA" w:eastAsia="ru-RU"/>
              </w:rPr>
              <w:t xml:space="preserve"> </w:t>
            </w:r>
            <w:r>
              <w:rPr>
                <w:lang w:eastAsia="ru-RU"/>
              </w:rPr>
              <w:t>Strip 4323032</w:t>
            </w:r>
          </w:p>
        </w:tc>
        <w:tc>
          <w:tcPr>
            <w:tcW w:w="992" w:type="dxa"/>
          </w:tcPr>
          <w:p w14:paraId="16EB45F5" w14:textId="04E606B3" w:rsidR="004D42A5" w:rsidRPr="00840112" w:rsidRDefault="00840112" w:rsidP="004D42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14:paraId="5AE791BB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00" w:type="dxa"/>
          </w:tcPr>
          <w:p w14:paraId="00CEA8F3" w14:textId="77777777" w:rsidR="004D42A5" w:rsidRPr="00452049" w:rsidRDefault="004D42A5" w:rsidP="004D42A5">
            <w:pPr>
              <w:rPr>
                <w:lang w:val="uk-UA"/>
              </w:rPr>
            </w:pPr>
          </w:p>
        </w:tc>
        <w:tc>
          <w:tcPr>
            <w:tcW w:w="1590" w:type="dxa"/>
          </w:tcPr>
          <w:p w14:paraId="133428FA" w14:textId="77777777" w:rsidR="004D42A5" w:rsidRPr="00452049" w:rsidRDefault="004D42A5" w:rsidP="004D42A5">
            <w:pPr>
              <w:rPr>
                <w:lang w:val="uk-UA"/>
              </w:rPr>
            </w:pPr>
          </w:p>
        </w:tc>
      </w:tr>
      <w:tr w:rsidR="003B22DE" w:rsidRPr="00452049" w14:paraId="2EDC72AE" w14:textId="77777777" w:rsidTr="00DF421A">
        <w:trPr>
          <w:jc w:val="center"/>
        </w:trPr>
        <w:tc>
          <w:tcPr>
            <w:tcW w:w="7933" w:type="dxa"/>
            <w:gridSpan w:val="4"/>
          </w:tcPr>
          <w:p w14:paraId="3A9052E7" w14:textId="207156C8" w:rsidR="003B22DE" w:rsidRPr="00452049" w:rsidRDefault="00035985" w:rsidP="001A01AD">
            <w:pPr>
              <w:rPr>
                <w:lang w:val="uk-UA"/>
              </w:rPr>
            </w:pPr>
            <w:r>
              <w:rPr>
                <w:b/>
                <w:bCs/>
                <w:lang w:val="uk-UA" w:eastAsia="uk-UA"/>
              </w:rPr>
              <w:t>Всього до</w:t>
            </w:r>
            <w:r w:rsidR="003B22DE" w:rsidRPr="00452049">
              <w:rPr>
                <w:b/>
                <w:bCs/>
                <w:lang w:val="uk-UA" w:eastAsia="uk-UA"/>
              </w:rPr>
              <w:t xml:space="preserve"> сплати:</w:t>
            </w:r>
          </w:p>
        </w:tc>
        <w:tc>
          <w:tcPr>
            <w:tcW w:w="1500" w:type="dxa"/>
          </w:tcPr>
          <w:p w14:paraId="4DC93EAF" w14:textId="77777777" w:rsidR="003B22DE" w:rsidRPr="00452049" w:rsidRDefault="003B22DE" w:rsidP="001A01AD">
            <w:pPr>
              <w:rPr>
                <w:lang w:val="uk-UA"/>
              </w:rPr>
            </w:pPr>
          </w:p>
        </w:tc>
        <w:tc>
          <w:tcPr>
            <w:tcW w:w="1590" w:type="dxa"/>
          </w:tcPr>
          <w:p w14:paraId="3C76A674" w14:textId="77777777" w:rsidR="003B22DE" w:rsidRPr="00452049" w:rsidRDefault="003B22DE" w:rsidP="001A01AD">
            <w:pPr>
              <w:rPr>
                <w:lang w:val="uk-UA"/>
              </w:rPr>
            </w:pPr>
          </w:p>
        </w:tc>
      </w:tr>
    </w:tbl>
    <w:p w14:paraId="5A283C13" w14:textId="77777777" w:rsidR="005C66B6" w:rsidRPr="00452049" w:rsidRDefault="005C66B6" w:rsidP="002E5DF8">
      <w:pPr>
        <w:tabs>
          <w:tab w:val="left" w:pos="2520"/>
        </w:tabs>
        <w:jc w:val="both"/>
        <w:rPr>
          <w:lang w:val="uk-UA"/>
        </w:rPr>
      </w:pPr>
    </w:p>
    <w:p w14:paraId="54958DF3" w14:textId="77777777" w:rsidR="001A01AD" w:rsidRPr="00452049" w:rsidRDefault="001A01AD" w:rsidP="002E5DF8">
      <w:pPr>
        <w:tabs>
          <w:tab w:val="left" w:pos="2520"/>
        </w:tabs>
        <w:jc w:val="both"/>
        <w:rPr>
          <w:lang w:val="uk-UA"/>
        </w:rPr>
      </w:pPr>
    </w:p>
    <w:p w14:paraId="5DC11380" w14:textId="4DFF70C0" w:rsidR="00A55094" w:rsidRPr="00A55094" w:rsidRDefault="00A55094" w:rsidP="00035985">
      <w:pPr>
        <w:autoSpaceDE w:val="0"/>
        <w:autoSpaceDN w:val="0"/>
        <w:adjustRightInd w:val="0"/>
        <w:spacing w:line="360" w:lineRule="auto"/>
        <w:ind w:right="22"/>
        <w:rPr>
          <w:i/>
          <w:iCs/>
          <w:color w:val="000000"/>
          <w:lang w:val="uk-UA"/>
        </w:rPr>
      </w:pPr>
    </w:p>
    <w:sectPr w:rsidR="00A55094" w:rsidRPr="00A55094" w:rsidSect="00056C61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B0A4" w14:textId="77777777" w:rsidR="00BC71D1" w:rsidRDefault="00BC71D1">
      <w:r>
        <w:separator/>
      </w:r>
    </w:p>
  </w:endnote>
  <w:endnote w:type="continuationSeparator" w:id="0">
    <w:p w14:paraId="304673E5" w14:textId="77777777" w:rsidR="00BC71D1" w:rsidRDefault="00BC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0C8E" w14:textId="77777777" w:rsidR="00DF421A" w:rsidRDefault="00DF421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DAC5" w14:textId="77777777" w:rsidR="00BC71D1" w:rsidRDefault="00BC71D1">
      <w:r>
        <w:separator/>
      </w:r>
    </w:p>
  </w:footnote>
  <w:footnote w:type="continuationSeparator" w:id="0">
    <w:p w14:paraId="73E52A2D" w14:textId="77777777" w:rsidR="00BC71D1" w:rsidRDefault="00BC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F44"/>
    <w:multiLevelType w:val="hybridMultilevel"/>
    <w:tmpl w:val="977C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5A55"/>
    <w:multiLevelType w:val="hybridMultilevel"/>
    <w:tmpl w:val="EE3614D4"/>
    <w:lvl w:ilvl="0" w:tplc="62C0B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67561C"/>
    <w:multiLevelType w:val="multilevel"/>
    <w:tmpl w:val="9BDCE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3" w15:restartNumberingAfterBreak="0">
    <w:nsid w:val="152F6F62"/>
    <w:multiLevelType w:val="hybridMultilevel"/>
    <w:tmpl w:val="343A1F76"/>
    <w:lvl w:ilvl="0" w:tplc="52C60CCE">
      <w:start w:val="1"/>
      <w:numFmt w:val="decimal"/>
      <w:lvlText w:val="%1."/>
      <w:lvlJc w:val="left"/>
      <w:pPr>
        <w:ind w:left="360" w:hanging="360"/>
      </w:pPr>
      <w:rPr>
        <w:rFonts w:eastAsiaTheme="minorHAnsi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32C20"/>
    <w:multiLevelType w:val="hybridMultilevel"/>
    <w:tmpl w:val="077E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5617E"/>
    <w:multiLevelType w:val="hybridMultilevel"/>
    <w:tmpl w:val="8AFA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7206"/>
    <w:multiLevelType w:val="hybridMultilevel"/>
    <w:tmpl w:val="4B48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E602D"/>
    <w:multiLevelType w:val="hybridMultilevel"/>
    <w:tmpl w:val="E8269CD2"/>
    <w:lvl w:ilvl="0" w:tplc="F722596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8032121">
    <w:abstractNumId w:val="6"/>
  </w:num>
  <w:num w:numId="2" w16cid:durableId="102851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8253973">
    <w:abstractNumId w:val="5"/>
  </w:num>
  <w:num w:numId="4" w16cid:durableId="618344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6721116">
    <w:abstractNumId w:val="4"/>
  </w:num>
  <w:num w:numId="6" w16cid:durableId="380639509">
    <w:abstractNumId w:val="2"/>
  </w:num>
  <w:num w:numId="7" w16cid:durableId="1035153930">
    <w:abstractNumId w:val="7"/>
  </w:num>
  <w:num w:numId="8" w16cid:durableId="2059820196">
    <w:abstractNumId w:val="3"/>
  </w:num>
  <w:num w:numId="9" w16cid:durableId="40857953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tTQ0MjQxMjKxMDZU0lEKTi0uzszPAykwrAUANHy6EywAAAA="/>
  </w:docVars>
  <w:rsids>
    <w:rsidRoot w:val="00E402A8"/>
    <w:rsid w:val="00004005"/>
    <w:rsid w:val="00004666"/>
    <w:rsid w:val="00007A5E"/>
    <w:rsid w:val="000108F6"/>
    <w:rsid w:val="00010EE8"/>
    <w:rsid w:val="00012283"/>
    <w:rsid w:val="0001290D"/>
    <w:rsid w:val="00016691"/>
    <w:rsid w:val="00025985"/>
    <w:rsid w:val="00032D30"/>
    <w:rsid w:val="00034525"/>
    <w:rsid w:val="00035700"/>
    <w:rsid w:val="00035985"/>
    <w:rsid w:val="00035C35"/>
    <w:rsid w:val="00043B11"/>
    <w:rsid w:val="00051659"/>
    <w:rsid w:val="00053922"/>
    <w:rsid w:val="0005597E"/>
    <w:rsid w:val="00056C61"/>
    <w:rsid w:val="00057090"/>
    <w:rsid w:val="0006006C"/>
    <w:rsid w:val="000653A6"/>
    <w:rsid w:val="00072163"/>
    <w:rsid w:val="00076229"/>
    <w:rsid w:val="00077809"/>
    <w:rsid w:val="000843FB"/>
    <w:rsid w:val="0008532C"/>
    <w:rsid w:val="00090D22"/>
    <w:rsid w:val="00093355"/>
    <w:rsid w:val="0009404E"/>
    <w:rsid w:val="00094980"/>
    <w:rsid w:val="00095464"/>
    <w:rsid w:val="000963BC"/>
    <w:rsid w:val="000A0F85"/>
    <w:rsid w:val="000A3F89"/>
    <w:rsid w:val="000A503C"/>
    <w:rsid w:val="000A7CC3"/>
    <w:rsid w:val="000B3A0F"/>
    <w:rsid w:val="000B4B3C"/>
    <w:rsid w:val="000C3250"/>
    <w:rsid w:val="000C6227"/>
    <w:rsid w:val="000C6762"/>
    <w:rsid w:val="000C77E1"/>
    <w:rsid w:val="000D0187"/>
    <w:rsid w:val="000D16D0"/>
    <w:rsid w:val="000D29ED"/>
    <w:rsid w:val="000D2C3C"/>
    <w:rsid w:val="000D5803"/>
    <w:rsid w:val="000E1F70"/>
    <w:rsid w:val="000E36A9"/>
    <w:rsid w:val="000E3AEB"/>
    <w:rsid w:val="000E3E4D"/>
    <w:rsid w:val="000F016F"/>
    <w:rsid w:val="000F6D4C"/>
    <w:rsid w:val="00101723"/>
    <w:rsid w:val="001037B0"/>
    <w:rsid w:val="00103B53"/>
    <w:rsid w:val="0010532C"/>
    <w:rsid w:val="00114A01"/>
    <w:rsid w:val="00121C27"/>
    <w:rsid w:val="00122695"/>
    <w:rsid w:val="0012509D"/>
    <w:rsid w:val="001304EE"/>
    <w:rsid w:val="0013420F"/>
    <w:rsid w:val="00134698"/>
    <w:rsid w:val="001358D0"/>
    <w:rsid w:val="001417F0"/>
    <w:rsid w:val="00141D0A"/>
    <w:rsid w:val="00142BDF"/>
    <w:rsid w:val="00144638"/>
    <w:rsid w:val="00150939"/>
    <w:rsid w:val="00151A60"/>
    <w:rsid w:val="00153F40"/>
    <w:rsid w:val="001547D4"/>
    <w:rsid w:val="00155711"/>
    <w:rsid w:val="0015646E"/>
    <w:rsid w:val="001574F4"/>
    <w:rsid w:val="00157CF2"/>
    <w:rsid w:val="001629A0"/>
    <w:rsid w:val="00164E1F"/>
    <w:rsid w:val="00166FB2"/>
    <w:rsid w:val="00170B36"/>
    <w:rsid w:val="0017346C"/>
    <w:rsid w:val="001735CB"/>
    <w:rsid w:val="00173824"/>
    <w:rsid w:val="001751C7"/>
    <w:rsid w:val="001763F0"/>
    <w:rsid w:val="0018160C"/>
    <w:rsid w:val="001818EC"/>
    <w:rsid w:val="00181A7A"/>
    <w:rsid w:val="00182A73"/>
    <w:rsid w:val="001864AB"/>
    <w:rsid w:val="0018797D"/>
    <w:rsid w:val="00191F71"/>
    <w:rsid w:val="001925C2"/>
    <w:rsid w:val="00193D92"/>
    <w:rsid w:val="00197AA1"/>
    <w:rsid w:val="001A01AD"/>
    <w:rsid w:val="001A6569"/>
    <w:rsid w:val="001B029B"/>
    <w:rsid w:val="001B3D03"/>
    <w:rsid w:val="001B7824"/>
    <w:rsid w:val="001C0E88"/>
    <w:rsid w:val="001C7026"/>
    <w:rsid w:val="001D1D8E"/>
    <w:rsid w:val="001D44A2"/>
    <w:rsid w:val="001D59FD"/>
    <w:rsid w:val="001D5B86"/>
    <w:rsid w:val="001E1E65"/>
    <w:rsid w:val="001E2807"/>
    <w:rsid w:val="001E4389"/>
    <w:rsid w:val="001E5EAE"/>
    <w:rsid w:val="001E64A4"/>
    <w:rsid w:val="001E66F8"/>
    <w:rsid w:val="001F0529"/>
    <w:rsid w:val="001F1FFF"/>
    <w:rsid w:val="00200F1C"/>
    <w:rsid w:val="00201D08"/>
    <w:rsid w:val="0020433F"/>
    <w:rsid w:val="002052D1"/>
    <w:rsid w:val="0020586E"/>
    <w:rsid w:val="00211FDD"/>
    <w:rsid w:val="0021382A"/>
    <w:rsid w:val="00220241"/>
    <w:rsid w:val="002203D2"/>
    <w:rsid w:val="00221DEF"/>
    <w:rsid w:val="00223778"/>
    <w:rsid w:val="00226A5E"/>
    <w:rsid w:val="002277BC"/>
    <w:rsid w:val="00230075"/>
    <w:rsid w:val="00230A83"/>
    <w:rsid w:val="00232F27"/>
    <w:rsid w:val="002335D3"/>
    <w:rsid w:val="002367C6"/>
    <w:rsid w:val="00236FB9"/>
    <w:rsid w:val="00245957"/>
    <w:rsid w:val="00245DDD"/>
    <w:rsid w:val="0024691F"/>
    <w:rsid w:val="00251B25"/>
    <w:rsid w:val="002534DB"/>
    <w:rsid w:val="00255441"/>
    <w:rsid w:val="002600BC"/>
    <w:rsid w:val="00261A9D"/>
    <w:rsid w:val="0026556E"/>
    <w:rsid w:val="00267F5E"/>
    <w:rsid w:val="002717B2"/>
    <w:rsid w:val="00276D0E"/>
    <w:rsid w:val="002771F1"/>
    <w:rsid w:val="00281F27"/>
    <w:rsid w:val="00282403"/>
    <w:rsid w:val="0028253D"/>
    <w:rsid w:val="00283482"/>
    <w:rsid w:val="00284D3B"/>
    <w:rsid w:val="002856E4"/>
    <w:rsid w:val="002908C5"/>
    <w:rsid w:val="0029302E"/>
    <w:rsid w:val="00296DD9"/>
    <w:rsid w:val="002A39A4"/>
    <w:rsid w:val="002A422A"/>
    <w:rsid w:val="002A4A73"/>
    <w:rsid w:val="002A7296"/>
    <w:rsid w:val="002B20B6"/>
    <w:rsid w:val="002B2B71"/>
    <w:rsid w:val="002B4400"/>
    <w:rsid w:val="002B5D0F"/>
    <w:rsid w:val="002B79E3"/>
    <w:rsid w:val="002C2104"/>
    <w:rsid w:val="002C2F40"/>
    <w:rsid w:val="002C532A"/>
    <w:rsid w:val="002C5A07"/>
    <w:rsid w:val="002D6ECC"/>
    <w:rsid w:val="002E1A57"/>
    <w:rsid w:val="002E241D"/>
    <w:rsid w:val="002E26CF"/>
    <w:rsid w:val="002E39EA"/>
    <w:rsid w:val="002E5DF8"/>
    <w:rsid w:val="002F3B22"/>
    <w:rsid w:val="002F3EBA"/>
    <w:rsid w:val="002F506F"/>
    <w:rsid w:val="002F6F0A"/>
    <w:rsid w:val="00302D24"/>
    <w:rsid w:val="00307908"/>
    <w:rsid w:val="00310B15"/>
    <w:rsid w:val="00311218"/>
    <w:rsid w:val="00311EAF"/>
    <w:rsid w:val="00312D44"/>
    <w:rsid w:val="003161FB"/>
    <w:rsid w:val="003206F1"/>
    <w:rsid w:val="00322797"/>
    <w:rsid w:val="00325130"/>
    <w:rsid w:val="003262B6"/>
    <w:rsid w:val="003301B0"/>
    <w:rsid w:val="003338AD"/>
    <w:rsid w:val="00336A3C"/>
    <w:rsid w:val="0034424E"/>
    <w:rsid w:val="003455C5"/>
    <w:rsid w:val="00346388"/>
    <w:rsid w:val="003466EE"/>
    <w:rsid w:val="00346715"/>
    <w:rsid w:val="003509DC"/>
    <w:rsid w:val="00351296"/>
    <w:rsid w:val="0035192A"/>
    <w:rsid w:val="003524EF"/>
    <w:rsid w:val="00352D09"/>
    <w:rsid w:val="00352D48"/>
    <w:rsid w:val="0035361B"/>
    <w:rsid w:val="0035477E"/>
    <w:rsid w:val="003562C5"/>
    <w:rsid w:val="00356C98"/>
    <w:rsid w:val="003571FC"/>
    <w:rsid w:val="00361411"/>
    <w:rsid w:val="00361559"/>
    <w:rsid w:val="00365FCB"/>
    <w:rsid w:val="003665E5"/>
    <w:rsid w:val="00367D07"/>
    <w:rsid w:val="003708B5"/>
    <w:rsid w:val="0037099F"/>
    <w:rsid w:val="00372894"/>
    <w:rsid w:val="00373199"/>
    <w:rsid w:val="00374EDB"/>
    <w:rsid w:val="00376372"/>
    <w:rsid w:val="00376DA8"/>
    <w:rsid w:val="00377602"/>
    <w:rsid w:val="0037795D"/>
    <w:rsid w:val="003800F9"/>
    <w:rsid w:val="00380298"/>
    <w:rsid w:val="00381BD5"/>
    <w:rsid w:val="00382665"/>
    <w:rsid w:val="0038285F"/>
    <w:rsid w:val="0038518E"/>
    <w:rsid w:val="00385E17"/>
    <w:rsid w:val="00387210"/>
    <w:rsid w:val="00393C6A"/>
    <w:rsid w:val="0039476A"/>
    <w:rsid w:val="00396FEE"/>
    <w:rsid w:val="003A0A5F"/>
    <w:rsid w:val="003A0D04"/>
    <w:rsid w:val="003A19C6"/>
    <w:rsid w:val="003A2B8C"/>
    <w:rsid w:val="003A3619"/>
    <w:rsid w:val="003A7408"/>
    <w:rsid w:val="003A796B"/>
    <w:rsid w:val="003B0442"/>
    <w:rsid w:val="003B1246"/>
    <w:rsid w:val="003B1426"/>
    <w:rsid w:val="003B22DE"/>
    <w:rsid w:val="003B48BF"/>
    <w:rsid w:val="003B697E"/>
    <w:rsid w:val="003B6EF3"/>
    <w:rsid w:val="003C63BD"/>
    <w:rsid w:val="003C6F58"/>
    <w:rsid w:val="003D0E3B"/>
    <w:rsid w:val="003D2FBD"/>
    <w:rsid w:val="003D3BA1"/>
    <w:rsid w:val="003D5648"/>
    <w:rsid w:val="003D65AD"/>
    <w:rsid w:val="003D74D5"/>
    <w:rsid w:val="003E0140"/>
    <w:rsid w:val="003E6AB7"/>
    <w:rsid w:val="003F0772"/>
    <w:rsid w:val="003F167F"/>
    <w:rsid w:val="003F2842"/>
    <w:rsid w:val="003F63AB"/>
    <w:rsid w:val="003F69C8"/>
    <w:rsid w:val="0040330E"/>
    <w:rsid w:val="00403DD1"/>
    <w:rsid w:val="00405345"/>
    <w:rsid w:val="00407C43"/>
    <w:rsid w:val="00413559"/>
    <w:rsid w:val="00415C85"/>
    <w:rsid w:val="00415E6B"/>
    <w:rsid w:val="00416C13"/>
    <w:rsid w:val="004177C5"/>
    <w:rsid w:val="004206C8"/>
    <w:rsid w:val="00420AA2"/>
    <w:rsid w:val="00420B7A"/>
    <w:rsid w:val="00421E3F"/>
    <w:rsid w:val="00424102"/>
    <w:rsid w:val="00424417"/>
    <w:rsid w:val="00424779"/>
    <w:rsid w:val="00426CA9"/>
    <w:rsid w:val="00430ECF"/>
    <w:rsid w:val="00431FE6"/>
    <w:rsid w:val="00433EDD"/>
    <w:rsid w:val="004359EC"/>
    <w:rsid w:val="004403E6"/>
    <w:rsid w:val="00440E90"/>
    <w:rsid w:val="004415F2"/>
    <w:rsid w:val="00441FCD"/>
    <w:rsid w:val="00442AC8"/>
    <w:rsid w:val="00447F17"/>
    <w:rsid w:val="0045095E"/>
    <w:rsid w:val="00452049"/>
    <w:rsid w:val="00462627"/>
    <w:rsid w:val="00462793"/>
    <w:rsid w:val="0046384C"/>
    <w:rsid w:val="004673A6"/>
    <w:rsid w:val="00467646"/>
    <w:rsid w:val="00471CE0"/>
    <w:rsid w:val="004752D8"/>
    <w:rsid w:val="00484156"/>
    <w:rsid w:val="00490C89"/>
    <w:rsid w:val="00491F0F"/>
    <w:rsid w:val="00494229"/>
    <w:rsid w:val="00495D62"/>
    <w:rsid w:val="0049611A"/>
    <w:rsid w:val="00496B83"/>
    <w:rsid w:val="004A115D"/>
    <w:rsid w:val="004A1A16"/>
    <w:rsid w:val="004A3D06"/>
    <w:rsid w:val="004A57C8"/>
    <w:rsid w:val="004A6126"/>
    <w:rsid w:val="004A7113"/>
    <w:rsid w:val="004B4A1C"/>
    <w:rsid w:val="004C241D"/>
    <w:rsid w:val="004C3FA2"/>
    <w:rsid w:val="004C63B3"/>
    <w:rsid w:val="004C6702"/>
    <w:rsid w:val="004D0282"/>
    <w:rsid w:val="004D1103"/>
    <w:rsid w:val="004D42A5"/>
    <w:rsid w:val="004D728E"/>
    <w:rsid w:val="004D7D2A"/>
    <w:rsid w:val="004E02FF"/>
    <w:rsid w:val="004E04C6"/>
    <w:rsid w:val="004E0E36"/>
    <w:rsid w:val="004E1151"/>
    <w:rsid w:val="004E21AD"/>
    <w:rsid w:val="004E2BEC"/>
    <w:rsid w:val="004E43BE"/>
    <w:rsid w:val="004F04EA"/>
    <w:rsid w:val="004F05F9"/>
    <w:rsid w:val="004F24FC"/>
    <w:rsid w:val="004F4458"/>
    <w:rsid w:val="00500E81"/>
    <w:rsid w:val="00503101"/>
    <w:rsid w:val="0050642E"/>
    <w:rsid w:val="005113B7"/>
    <w:rsid w:val="0051147D"/>
    <w:rsid w:val="00512F95"/>
    <w:rsid w:val="005152A3"/>
    <w:rsid w:val="00515713"/>
    <w:rsid w:val="00515DB9"/>
    <w:rsid w:val="00516430"/>
    <w:rsid w:val="005177DF"/>
    <w:rsid w:val="00522E7B"/>
    <w:rsid w:val="00524094"/>
    <w:rsid w:val="00525391"/>
    <w:rsid w:val="00526631"/>
    <w:rsid w:val="005267D8"/>
    <w:rsid w:val="00526C68"/>
    <w:rsid w:val="005367BB"/>
    <w:rsid w:val="00537131"/>
    <w:rsid w:val="00537628"/>
    <w:rsid w:val="005419BA"/>
    <w:rsid w:val="0054287E"/>
    <w:rsid w:val="005444A9"/>
    <w:rsid w:val="00545E46"/>
    <w:rsid w:val="00545F51"/>
    <w:rsid w:val="0054614B"/>
    <w:rsid w:val="00554DC7"/>
    <w:rsid w:val="00555E58"/>
    <w:rsid w:val="005571D1"/>
    <w:rsid w:val="00560E80"/>
    <w:rsid w:val="00564997"/>
    <w:rsid w:val="00565EB4"/>
    <w:rsid w:val="0056669E"/>
    <w:rsid w:val="00567A11"/>
    <w:rsid w:val="0057030F"/>
    <w:rsid w:val="0057462B"/>
    <w:rsid w:val="00576559"/>
    <w:rsid w:val="00577CDD"/>
    <w:rsid w:val="00582D6F"/>
    <w:rsid w:val="00583B38"/>
    <w:rsid w:val="0058571C"/>
    <w:rsid w:val="005872DA"/>
    <w:rsid w:val="00590831"/>
    <w:rsid w:val="00593035"/>
    <w:rsid w:val="005933B7"/>
    <w:rsid w:val="00596851"/>
    <w:rsid w:val="005A1268"/>
    <w:rsid w:val="005A2B04"/>
    <w:rsid w:val="005A5FD4"/>
    <w:rsid w:val="005A77CD"/>
    <w:rsid w:val="005B09B2"/>
    <w:rsid w:val="005B20C8"/>
    <w:rsid w:val="005B40D2"/>
    <w:rsid w:val="005B517B"/>
    <w:rsid w:val="005B6C9D"/>
    <w:rsid w:val="005B7DC0"/>
    <w:rsid w:val="005C3A3B"/>
    <w:rsid w:val="005C5E90"/>
    <w:rsid w:val="005C66B6"/>
    <w:rsid w:val="005D05BE"/>
    <w:rsid w:val="005D11D6"/>
    <w:rsid w:val="005D2EED"/>
    <w:rsid w:val="005D7155"/>
    <w:rsid w:val="005E3BD4"/>
    <w:rsid w:val="005E696C"/>
    <w:rsid w:val="005F49A6"/>
    <w:rsid w:val="00600DD6"/>
    <w:rsid w:val="00604891"/>
    <w:rsid w:val="00604FEE"/>
    <w:rsid w:val="00607BB4"/>
    <w:rsid w:val="00610B67"/>
    <w:rsid w:val="0061148F"/>
    <w:rsid w:val="00615918"/>
    <w:rsid w:val="0061629F"/>
    <w:rsid w:val="00617EEC"/>
    <w:rsid w:val="006264EA"/>
    <w:rsid w:val="00631360"/>
    <w:rsid w:val="00631501"/>
    <w:rsid w:val="00634208"/>
    <w:rsid w:val="00637E44"/>
    <w:rsid w:val="00644A15"/>
    <w:rsid w:val="006461D4"/>
    <w:rsid w:val="00650645"/>
    <w:rsid w:val="0065204F"/>
    <w:rsid w:val="00653748"/>
    <w:rsid w:val="00653A9D"/>
    <w:rsid w:val="006547A8"/>
    <w:rsid w:val="006570F8"/>
    <w:rsid w:val="00662DCF"/>
    <w:rsid w:val="0066570C"/>
    <w:rsid w:val="00670C82"/>
    <w:rsid w:val="00671AAC"/>
    <w:rsid w:val="00672050"/>
    <w:rsid w:val="00674D12"/>
    <w:rsid w:val="00676245"/>
    <w:rsid w:val="00676E5F"/>
    <w:rsid w:val="00677419"/>
    <w:rsid w:val="0068621B"/>
    <w:rsid w:val="006875EA"/>
    <w:rsid w:val="00693D11"/>
    <w:rsid w:val="00695E96"/>
    <w:rsid w:val="006A0105"/>
    <w:rsid w:val="006A023C"/>
    <w:rsid w:val="006B3ED3"/>
    <w:rsid w:val="006B5F0A"/>
    <w:rsid w:val="006C0B21"/>
    <w:rsid w:val="006C5619"/>
    <w:rsid w:val="006C7D8C"/>
    <w:rsid w:val="006D0D49"/>
    <w:rsid w:val="006D38B8"/>
    <w:rsid w:val="006D39FA"/>
    <w:rsid w:val="006D48E7"/>
    <w:rsid w:val="006E1203"/>
    <w:rsid w:val="006E1D87"/>
    <w:rsid w:val="006E42D2"/>
    <w:rsid w:val="006E4953"/>
    <w:rsid w:val="006E4F3D"/>
    <w:rsid w:val="006E7EF2"/>
    <w:rsid w:val="006F0520"/>
    <w:rsid w:val="006F0750"/>
    <w:rsid w:val="006F1369"/>
    <w:rsid w:val="006F43EE"/>
    <w:rsid w:val="00701EA2"/>
    <w:rsid w:val="00702C79"/>
    <w:rsid w:val="00704028"/>
    <w:rsid w:val="0070418B"/>
    <w:rsid w:val="00705BD2"/>
    <w:rsid w:val="007138C2"/>
    <w:rsid w:val="00716AC1"/>
    <w:rsid w:val="0071799E"/>
    <w:rsid w:val="0072078D"/>
    <w:rsid w:val="00720CF1"/>
    <w:rsid w:val="00723094"/>
    <w:rsid w:val="00723448"/>
    <w:rsid w:val="00725EF8"/>
    <w:rsid w:val="00732439"/>
    <w:rsid w:val="00732E28"/>
    <w:rsid w:val="00732FF5"/>
    <w:rsid w:val="00733628"/>
    <w:rsid w:val="007344CA"/>
    <w:rsid w:val="007354D7"/>
    <w:rsid w:val="0074405B"/>
    <w:rsid w:val="0074433B"/>
    <w:rsid w:val="007469E4"/>
    <w:rsid w:val="00746BC4"/>
    <w:rsid w:val="00746F98"/>
    <w:rsid w:val="00747A87"/>
    <w:rsid w:val="00750E50"/>
    <w:rsid w:val="007530A4"/>
    <w:rsid w:val="007579C0"/>
    <w:rsid w:val="0076218F"/>
    <w:rsid w:val="007623EA"/>
    <w:rsid w:val="00766E8B"/>
    <w:rsid w:val="00774458"/>
    <w:rsid w:val="007748A3"/>
    <w:rsid w:val="00775257"/>
    <w:rsid w:val="0077616E"/>
    <w:rsid w:val="00776692"/>
    <w:rsid w:val="00777C33"/>
    <w:rsid w:val="00785C9B"/>
    <w:rsid w:val="0078643F"/>
    <w:rsid w:val="00787E03"/>
    <w:rsid w:val="00790A8E"/>
    <w:rsid w:val="007924DB"/>
    <w:rsid w:val="00793089"/>
    <w:rsid w:val="00796527"/>
    <w:rsid w:val="007973C2"/>
    <w:rsid w:val="007A06BE"/>
    <w:rsid w:val="007A1773"/>
    <w:rsid w:val="007A3AF2"/>
    <w:rsid w:val="007A78DB"/>
    <w:rsid w:val="007B106B"/>
    <w:rsid w:val="007B4BFE"/>
    <w:rsid w:val="007B752E"/>
    <w:rsid w:val="007C4B84"/>
    <w:rsid w:val="007D12AF"/>
    <w:rsid w:val="007D1FFC"/>
    <w:rsid w:val="007D20BC"/>
    <w:rsid w:val="007D6985"/>
    <w:rsid w:val="007E431E"/>
    <w:rsid w:val="007E5892"/>
    <w:rsid w:val="007E5CF3"/>
    <w:rsid w:val="007F245C"/>
    <w:rsid w:val="007F2740"/>
    <w:rsid w:val="007F5283"/>
    <w:rsid w:val="007F6F81"/>
    <w:rsid w:val="007F7D4C"/>
    <w:rsid w:val="0080229B"/>
    <w:rsid w:val="008047B7"/>
    <w:rsid w:val="008060B0"/>
    <w:rsid w:val="0080652E"/>
    <w:rsid w:val="00810A89"/>
    <w:rsid w:val="008133A3"/>
    <w:rsid w:val="008160AF"/>
    <w:rsid w:val="00817E11"/>
    <w:rsid w:val="00820ECE"/>
    <w:rsid w:val="00823201"/>
    <w:rsid w:val="008253E7"/>
    <w:rsid w:val="00826629"/>
    <w:rsid w:val="0082768A"/>
    <w:rsid w:val="00832423"/>
    <w:rsid w:val="00832885"/>
    <w:rsid w:val="00832B07"/>
    <w:rsid w:val="00834E92"/>
    <w:rsid w:val="0083767D"/>
    <w:rsid w:val="00837F58"/>
    <w:rsid w:val="00840112"/>
    <w:rsid w:val="0084327B"/>
    <w:rsid w:val="00843909"/>
    <w:rsid w:val="00844276"/>
    <w:rsid w:val="00850BEA"/>
    <w:rsid w:val="00850C17"/>
    <w:rsid w:val="00854923"/>
    <w:rsid w:val="00856857"/>
    <w:rsid w:val="00857BCB"/>
    <w:rsid w:val="00857EBD"/>
    <w:rsid w:val="00861231"/>
    <w:rsid w:val="00861E42"/>
    <w:rsid w:val="00862D6A"/>
    <w:rsid w:val="00863581"/>
    <w:rsid w:val="00871966"/>
    <w:rsid w:val="00872921"/>
    <w:rsid w:val="00874463"/>
    <w:rsid w:val="00876ADB"/>
    <w:rsid w:val="0088309E"/>
    <w:rsid w:val="00883D84"/>
    <w:rsid w:val="00884069"/>
    <w:rsid w:val="00884608"/>
    <w:rsid w:val="0089464E"/>
    <w:rsid w:val="00894DE2"/>
    <w:rsid w:val="00895345"/>
    <w:rsid w:val="008B0055"/>
    <w:rsid w:val="008B458A"/>
    <w:rsid w:val="008C0AD3"/>
    <w:rsid w:val="008C47B1"/>
    <w:rsid w:val="008C55B6"/>
    <w:rsid w:val="008D2F6B"/>
    <w:rsid w:val="008D342F"/>
    <w:rsid w:val="008D5855"/>
    <w:rsid w:val="008D5C9C"/>
    <w:rsid w:val="008D6AA2"/>
    <w:rsid w:val="008D79C4"/>
    <w:rsid w:val="008E0B75"/>
    <w:rsid w:val="008E1B5E"/>
    <w:rsid w:val="008E1DDE"/>
    <w:rsid w:val="008E3EF9"/>
    <w:rsid w:val="008E3F47"/>
    <w:rsid w:val="008E6F47"/>
    <w:rsid w:val="008F736D"/>
    <w:rsid w:val="008F7D6B"/>
    <w:rsid w:val="00900E36"/>
    <w:rsid w:val="0090116A"/>
    <w:rsid w:val="00903734"/>
    <w:rsid w:val="0090503F"/>
    <w:rsid w:val="009051A1"/>
    <w:rsid w:val="009068F4"/>
    <w:rsid w:val="00914EA4"/>
    <w:rsid w:val="00922F4B"/>
    <w:rsid w:val="00942BAC"/>
    <w:rsid w:val="00943F19"/>
    <w:rsid w:val="009461F1"/>
    <w:rsid w:val="0094654B"/>
    <w:rsid w:val="00947218"/>
    <w:rsid w:val="009508B6"/>
    <w:rsid w:val="00951404"/>
    <w:rsid w:val="0095145B"/>
    <w:rsid w:val="00952EB0"/>
    <w:rsid w:val="009558C9"/>
    <w:rsid w:val="0095707D"/>
    <w:rsid w:val="009629E7"/>
    <w:rsid w:val="009660BC"/>
    <w:rsid w:val="00971539"/>
    <w:rsid w:val="009715EE"/>
    <w:rsid w:val="0097258E"/>
    <w:rsid w:val="00975ECA"/>
    <w:rsid w:val="00977550"/>
    <w:rsid w:val="00980E26"/>
    <w:rsid w:val="00984D28"/>
    <w:rsid w:val="00984E7D"/>
    <w:rsid w:val="009A25D7"/>
    <w:rsid w:val="009A3AAC"/>
    <w:rsid w:val="009A5F03"/>
    <w:rsid w:val="009B706D"/>
    <w:rsid w:val="009B7399"/>
    <w:rsid w:val="009C2C45"/>
    <w:rsid w:val="009D1101"/>
    <w:rsid w:val="009D3FEA"/>
    <w:rsid w:val="009E0DC0"/>
    <w:rsid w:val="009E33BC"/>
    <w:rsid w:val="009E5F93"/>
    <w:rsid w:val="009E6EBC"/>
    <w:rsid w:val="009F030B"/>
    <w:rsid w:val="009F05CC"/>
    <w:rsid w:val="009F37E4"/>
    <w:rsid w:val="00A0139C"/>
    <w:rsid w:val="00A01B09"/>
    <w:rsid w:val="00A03174"/>
    <w:rsid w:val="00A1508A"/>
    <w:rsid w:val="00A15964"/>
    <w:rsid w:val="00A16146"/>
    <w:rsid w:val="00A164C7"/>
    <w:rsid w:val="00A22B98"/>
    <w:rsid w:val="00A22DB2"/>
    <w:rsid w:val="00A23A8E"/>
    <w:rsid w:val="00A25DD5"/>
    <w:rsid w:val="00A3270C"/>
    <w:rsid w:val="00A3442C"/>
    <w:rsid w:val="00A36FCE"/>
    <w:rsid w:val="00A43DF4"/>
    <w:rsid w:val="00A443D7"/>
    <w:rsid w:val="00A538D5"/>
    <w:rsid w:val="00A54208"/>
    <w:rsid w:val="00A55094"/>
    <w:rsid w:val="00A56687"/>
    <w:rsid w:val="00A5716B"/>
    <w:rsid w:val="00A61BF2"/>
    <w:rsid w:val="00A739EE"/>
    <w:rsid w:val="00A73EC0"/>
    <w:rsid w:val="00A7510D"/>
    <w:rsid w:val="00A75C3E"/>
    <w:rsid w:val="00A776B4"/>
    <w:rsid w:val="00A83D23"/>
    <w:rsid w:val="00A87745"/>
    <w:rsid w:val="00A92B0D"/>
    <w:rsid w:val="00A92FA5"/>
    <w:rsid w:val="00AA0734"/>
    <w:rsid w:val="00AA2368"/>
    <w:rsid w:val="00AA2B16"/>
    <w:rsid w:val="00AB412A"/>
    <w:rsid w:val="00AB5B5C"/>
    <w:rsid w:val="00AB7AA4"/>
    <w:rsid w:val="00AC2879"/>
    <w:rsid w:val="00AC3F6D"/>
    <w:rsid w:val="00AC58D8"/>
    <w:rsid w:val="00AC6CCF"/>
    <w:rsid w:val="00AD1F5D"/>
    <w:rsid w:val="00AD3993"/>
    <w:rsid w:val="00AD4E07"/>
    <w:rsid w:val="00AD7978"/>
    <w:rsid w:val="00AE0DF9"/>
    <w:rsid w:val="00AE19F8"/>
    <w:rsid w:val="00AE241E"/>
    <w:rsid w:val="00AE2F6B"/>
    <w:rsid w:val="00AE33E4"/>
    <w:rsid w:val="00AE3714"/>
    <w:rsid w:val="00AE3911"/>
    <w:rsid w:val="00AE47FC"/>
    <w:rsid w:val="00AE5555"/>
    <w:rsid w:val="00AF2DA4"/>
    <w:rsid w:val="00AF2E25"/>
    <w:rsid w:val="00AF3566"/>
    <w:rsid w:val="00AF6611"/>
    <w:rsid w:val="00AF76AA"/>
    <w:rsid w:val="00B00DE6"/>
    <w:rsid w:val="00B031C3"/>
    <w:rsid w:val="00B074A9"/>
    <w:rsid w:val="00B15447"/>
    <w:rsid w:val="00B16091"/>
    <w:rsid w:val="00B2025E"/>
    <w:rsid w:val="00B21455"/>
    <w:rsid w:val="00B37D94"/>
    <w:rsid w:val="00B40036"/>
    <w:rsid w:val="00B4149B"/>
    <w:rsid w:val="00B43F2B"/>
    <w:rsid w:val="00B44B9F"/>
    <w:rsid w:val="00B45E71"/>
    <w:rsid w:val="00B51F22"/>
    <w:rsid w:val="00B52B46"/>
    <w:rsid w:val="00B56C75"/>
    <w:rsid w:val="00B57EC7"/>
    <w:rsid w:val="00B6131E"/>
    <w:rsid w:val="00B6163A"/>
    <w:rsid w:val="00B61AE8"/>
    <w:rsid w:val="00B67049"/>
    <w:rsid w:val="00B72A20"/>
    <w:rsid w:val="00B74C2A"/>
    <w:rsid w:val="00B76ACB"/>
    <w:rsid w:val="00B7708D"/>
    <w:rsid w:val="00B77E2D"/>
    <w:rsid w:val="00B87565"/>
    <w:rsid w:val="00B92476"/>
    <w:rsid w:val="00B95E9C"/>
    <w:rsid w:val="00B97109"/>
    <w:rsid w:val="00B97395"/>
    <w:rsid w:val="00B97CFB"/>
    <w:rsid w:val="00BA5869"/>
    <w:rsid w:val="00BB289D"/>
    <w:rsid w:val="00BB3A8E"/>
    <w:rsid w:val="00BB79A0"/>
    <w:rsid w:val="00BC0648"/>
    <w:rsid w:val="00BC0A8A"/>
    <w:rsid w:val="00BC0D3C"/>
    <w:rsid w:val="00BC580C"/>
    <w:rsid w:val="00BC71D1"/>
    <w:rsid w:val="00BC7745"/>
    <w:rsid w:val="00BD24C8"/>
    <w:rsid w:val="00BD3155"/>
    <w:rsid w:val="00BE38EF"/>
    <w:rsid w:val="00BE5327"/>
    <w:rsid w:val="00BE5BC1"/>
    <w:rsid w:val="00BE6A2A"/>
    <w:rsid w:val="00BF28FB"/>
    <w:rsid w:val="00BF2B00"/>
    <w:rsid w:val="00BF3FCB"/>
    <w:rsid w:val="00C0365E"/>
    <w:rsid w:val="00C0434A"/>
    <w:rsid w:val="00C05668"/>
    <w:rsid w:val="00C158BD"/>
    <w:rsid w:val="00C1716B"/>
    <w:rsid w:val="00C175C0"/>
    <w:rsid w:val="00C22813"/>
    <w:rsid w:val="00C23449"/>
    <w:rsid w:val="00C25616"/>
    <w:rsid w:val="00C25C93"/>
    <w:rsid w:val="00C2644C"/>
    <w:rsid w:val="00C30A54"/>
    <w:rsid w:val="00C30D79"/>
    <w:rsid w:val="00C355AF"/>
    <w:rsid w:val="00C37DF1"/>
    <w:rsid w:val="00C4641A"/>
    <w:rsid w:val="00C4670F"/>
    <w:rsid w:val="00C474E5"/>
    <w:rsid w:val="00C510B2"/>
    <w:rsid w:val="00C518F2"/>
    <w:rsid w:val="00C55B6C"/>
    <w:rsid w:val="00C6023A"/>
    <w:rsid w:val="00C67188"/>
    <w:rsid w:val="00C7144E"/>
    <w:rsid w:val="00C7697A"/>
    <w:rsid w:val="00C81BC4"/>
    <w:rsid w:val="00C928FA"/>
    <w:rsid w:val="00CA0393"/>
    <w:rsid w:val="00CA1D1D"/>
    <w:rsid w:val="00CA2117"/>
    <w:rsid w:val="00CB0A8A"/>
    <w:rsid w:val="00CB0B51"/>
    <w:rsid w:val="00CB10D0"/>
    <w:rsid w:val="00CB178A"/>
    <w:rsid w:val="00CB29FC"/>
    <w:rsid w:val="00CB580A"/>
    <w:rsid w:val="00CB7196"/>
    <w:rsid w:val="00CC0554"/>
    <w:rsid w:val="00CC21A4"/>
    <w:rsid w:val="00CC4247"/>
    <w:rsid w:val="00CC659A"/>
    <w:rsid w:val="00CD2887"/>
    <w:rsid w:val="00CD2CE9"/>
    <w:rsid w:val="00CD3BEC"/>
    <w:rsid w:val="00CD74FE"/>
    <w:rsid w:val="00CD7CF3"/>
    <w:rsid w:val="00CD7DF0"/>
    <w:rsid w:val="00CE43A0"/>
    <w:rsid w:val="00CE64CD"/>
    <w:rsid w:val="00CF103E"/>
    <w:rsid w:val="00CF3D6B"/>
    <w:rsid w:val="00D016E4"/>
    <w:rsid w:val="00D05688"/>
    <w:rsid w:val="00D0683B"/>
    <w:rsid w:val="00D115DD"/>
    <w:rsid w:val="00D14E44"/>
    <w:rsid w:val="00D15569"/>
    <w:rsid w:val="00D15D10"/>
    <w:rsid w:val="00D17481"/>
    <w:rsid w:val="00D17C5E"/>
    <w:rsid w:val="00D23B65"/>
    <w:rsid w:val="00D24179"/>
    <w:rsid w:val="00D25744"/>
    <w:rsid w:val="00D272B9"/>
    <w:rsid w:val="00D27547"/>
    <w:rsid w:val="00D32191"/>
    <w:rsid w:val="00D32540"/>
    <w:rsid w:val="00D325F6"/>
    <w:rsid w:val="00D32FC0"/>
    <w:rsid w:val="00D33DC6"/>
    <w:rsid w:val="00D37E2F"/>
    <w:rsid w:val="00D43F75"/>
    <w:rsid w:val="00D4633E"/>
    <w:rsid w:val="00D47D6F"/>
    <w:rsid w:val="00D53736"/>
    <w:rsid w:val="00D53A1F"/>
    <w:rsid w:val="00D549A2"/>
    <w:rsid w:val="00D54FDF"/>
    <w:rsid w:val="00D55743"/>
    <w:rsid w:val="00D566FE"/>
    <w:rsid w:val="00D57A59"/>
    <w:rsid w:val="00D612D5"/>
    <w:rsid w:val="00D63462"/>
    <w:rsid w:val="00D65482"/>
    <w:rsid w:val="00D738F3"/>
    <w:rsid w:val="00D76FD4"/>
    <w:rsid w:val="00D81CF1"/>
    <w:rsid w:val="00D84790"/>
    <w:rsid w:val="00D87848"/>
    <w:rsid w:val="00D924A9"/>
    <w:rsid w:val="00D927F2"/>
    <w:rsid w:val="00DA0520"/>
    <w:rsid w:val="00DA4564"/>
    <w:rsid w:val="00DA472E"/>
    <w:rsid w:val="00DA50C4"/>
    <w:rsid w:val="00DA50EE"/>
    <w:rsid w:val="00DB4AD5"/>
    <w:rsid w:val="00DC5A23"/>
    <w:rsid w:val="00DC7079"/>
    <w:rsid w:val="00DC7E3D"/>
    <w:rsid w:val="00DD5DB6"/>
    <w:rsid w:val="00DE09F6"/>
    <w:rsid w:val="00DE1595"/>
    <w:rsid w:val="00DE2F20"/>
    <w:rsid w:val="00DE3F79"/>
    <w:rsid w:val="00DE5018"/>
    <w:rsid w:val="00DE7695"/>
    <w:rsid w:val="00DF1AB0"/>
    <w:rsid w:val="00DF421A"/>
    <w:rsid w:val="00DF5E31"/>
    <w:rsid w:val="00E00619"/>
    <w:rsid w:val="00E03751"/>
    <w:rsid w:val="00E04DAE"/>
    <w:rsid w:val="00E07E5D"/>
    <w:rsid w:val="00E1024B"/>
    <w:rsid w:val="00E12E5F"/>
    <w:rsid w:val="00E150E9"/>
    <w:rsid w:val="00E15DA0"/>
    <w:rsid w:val="00E20B3C"/>
    <w:rsid w:val="00E3147E"/>
    <w:rsid w:val="00E323BC"/>
    <w:rsid w:val="00E32534"/>
    <w:rsid w:val="00E3404C"/>
    <w:rsid w:val="00E402A8"/>
    <w:rsid w:val="00E40D38"/>
    <w:rsid w:val="00E41340"/>
    <w:rsid w:val="00E416A5"/>
    <w:rsid w:val="00E4422D"/>
    <w:rsid w:val="00E508FE"/>
    <w:rsid w:val="00E51283"/>
    <w:rsid w:val="00E5284F"/>
    <w:rsid w:val="00E52950"/>
    <w:rsid w:val="00E57D9E"/>
    <w:rsid w:val="00E60871"/>
    <w:rsid w:val="00E61177"/>
    <w:rsid w:val="00E63452"/>
    <w:rsid w:val="00E70F30"/>
    <w:rsid w:val="00E71F66"/>
    <w:rsid w:val="00E73AED"/>
    <w:rsid w:val="00E7498C"/>
    <w:rsid w:val="00E749A6"/>
    <w:rsid w:val="00E80C23"/>
    <w:rsid w:val="00E83C67"/>
    <w:rsid w:val="00E84EAB"/>
    <w:rsid w:val="00E947BE"/>
    <w:rsid w:val="00E94E7B"/>
    <w:rsid w:val="00E9516F"/>
    <w:rsid w:val="00E95AEC"/>
    <w:rsid w:val="00E97A80"/>
    <w:rsid w:val="00EA1CD7"/>
    <w:rsid w:val="00EA25CE"/>
    <w:rsid w:val="00EA6270"/>
    <w:rsid w:val="00EA6395"/>
    <w:rsid w:val="00EA79FB"/>
    <w:rsid w:val="00EB0A65"/>
    <w:rsid w:val="00EB2765"/>
    <w:rsid w:val="00EB43EE"/>
    <w:rsid w:val="00EB55EB"/>
    <w:rsid w:val="00EB5B97"/>
    <w:rsid w:val="00EB5FFC"/>
    <w:rsid w:val="00EB7EF8"/>
    <w:rsid w:val="00EC04BF"/>
    <w:rsid w:val="00EC0A54"/>
    <w:rsid w:val="00EC13B2"/>
    <w:rsid w:val="00EC1FEE"/>
    <w:rsid w:val="00EC2AB1"/>
    <w:rsid w:val="00EC3528"/>
    <w:rsid w:val="00EC3C37"/>
    <w:rsid w:val="00EC6C78"/>
    <w:rsid w:val="00EC7172"/>
    <w:rsid w:val="00EC7879"/>
    <w:rsid w:val="00ED1CD2"/>
    <w:rsid w:val="00ED25E3"/>
    <w:rsid w:val="00ED7402"/>
    <w:rsid w:val="00EE11A3"/>
    <w:rsid w:val="00EE290B"/>
    <w:rsid w:val="00EE2F62"/>
    <w:rsid w:val="00EE3768"/>
    <w:rsid w:val="00EE37B4"/>
    <w:rsid w:val="00EE4E29"/>
    <w:rsid w:val="00EE5D1A"/>
    <w:rsid w:val="00EE5F2C"/>
    <w:rsid w:val="00EE6BE2"/>
    <w:rsid w:val="00EE7016"/>
    <w:rsid w:val="00EF019D"/>
    <w:rsid w:val="00EF5800"/>
    <w:rsid w:val="00EF7585"/>
    <w:rsid w:val="00F015E2"/>
    <w:rsid w:val="00F017B4"/>
    <w:rsid w:val="00F01BD8"/>
    <w:rsid w:val="00F05B8C"/>
    <w:rsid w:val="00F07DAE"/>
    <w:rsid w:val="00F07DD4"/>
    <w:rsid w:val="00F10427"/>
    <w:rsid w:val="00F12979"/>
    <w:rsid w:val="00F2392F"/>
    <w:rsid w:val="00F23F1D"/>
    <w:rsid w:val="00F24B19"/>
    <w:rsid w:val="00F31B44"/>
    <w:rsid w:val="00F403CA"/>
    <w:rsid w:val="00F4224F"/>
    <w:rsid w:val="00F43CE4"/>
    <w:rsid w:val="00F50F3C"/>
    <w:rsid w:val="00F527F4"/>
    <w:rsid w:val="00F52B8E"/>
    <w:rsid w:val="00F558DC"/>
    <w:rsid w:val="00F61E03"/>
    <w:rsid w:val="00F62B55"/>
    <w:rsid w:val="00F67874"/>
    <w:rsid w:val="00F731E0"/>
    <w:rsid w:val="00F7339A"/>
    <w:rsid w:val="00F745C5"/>
    <w:rsid w:val="00F7628F"/>
    <w:rsid w:val="00F820EE"/>
    <w:rsid w:val="00F84D61"/>
    <w:rsid w:val="00F879BF"/>
    <w:rsid w:val="00F901FF"/>
    <w:rsid w:val="00F92913"/>
    <w:rsid w:val="00FA00E2"/>
    <w:rsid w:val="00FA2928"/>
    <w:rsid w:val="00FA55CF"/>
    <w:rsid w:val="00FB141E"/>
    <w:rsid w:val="00FB14F9"/>
    <w:rsid w:val="00FB34BB"/>
    <w:rsid w:val="00FB36D9"/>
    <w:rsid w:val="00FB6CC1"/>
    <w:rsid w:val="00FC0C54"/>
    <w:rsid w:val="00FC67F5"/>
    <w:rsid w:val="00FC7B56"/>
    <w:rsid w:val="00FC7F5D"/>
    <w:rsid w:val="00FD336B"/>
    <w:rsid w:val="00FD4848"/>
    <w:rsid w:val="00FD591D"/>
    <w:rsid w:val="00FE037D"/>
    <w:rsid w:val="00FE03C5"/>
    <w:rsid w:val="00FE7CFE"/>
    <w:rsid w:val="00FE7E34"/>
    <w:rsid w:val="00FF081F"/>
    <w:rsid w:val="00FF39A3"/>
    <w:rsid w:val="00FF49A2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720FFE"/>
  <w15:docId w15:val="{E614A03A-E162-4DA5-A128-293975FD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668"/>
    <w:pPr>
      <w:suppressAutoHyphens/>
      <w:jc w:val="center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5668"/>
    <w:pPr>
      <w:suppressAutoHyphens/>
      <w:jc w:val="center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5668"/>
    <w:pPr>
      <w:keepNext/>
      <w:suppressAutoHyphens/>
      <w:jc w:val="center"/>
      <w:outlineLvl w:val="3"/>
    </w:pPr>
    <w:rPr>
      <w:rFonts w:ascii="Calibri" w:hAnsi="Calibri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5668"/>
    <w:pPr>
      <w:keepNext/>
      <w:jc w:val="center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5668"/>
    <w:pPr>
      <w:keepNext/>
      <w:suppressAutoHyphens/>
      <w:jc w:val="center"/>
      <w:outlineLvl w:val="5"/>
    </w:pPr>
    <w:rPr>
      <w:rFonts w:ascii="Calibri" w:hAnsi="Calibri"/>
      <w:b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5668"/>
    <w:pPr>
      <w:keepNext/>
      <w:jc w:val="center"/>
      <w:outlineLvl w:val="6"/>
    </w:pPr>
    <w:rPr>
      <w:rFonts w:ascii="Calibri" w:hAnsi="Calibri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5668"/>
    <w:pPr>
      <w:keepNext/>
      <w:suppressAutoHyphens/>
      <w:jc w:val="both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591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591D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591D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591D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591D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591D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591D"/>
    <w:rPr>
      <w:rFonts w:ascii="Cambria" w:hAnsi="Cambria" w:cs="Times New Roman"/>
    </w:rPr>
  </w:style>
  <w:style w:type="paragraph" w:styleId="BodyTextIndent2">
    <w:name w:val="Body Text Indent 2"/>
    <w:basedOn w:val="Normal"/>
    <w:link w:val="BodyTextIndent2Char"/>
    <w:uiPriority w:val="99"/>
    <w:rsid w:val="00C05668"/>
    <w:pPr>
      <w:tabs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720" w:hanging="436"/>
      <w:jc w:val="both"/>
    </w:pPr>
    <w:rPr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591D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591D"/>
    <w:rPr>
      <w:rFonts w:cs="Times New Roman"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C05668"/>
    <w:pPr>
      <w:tabs>
        <w:tab w:val="left" w:leader="dot" w:pos="9000"/>
      </w:tabs>
      <w:suppressAutoHyphens/>
      <w:spacing w:before="240"/>
      <w:ind w:left="720" w:hanging="720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</w:style>
  <w:style w:type="paragraph" w:styleId="TOC3">
    <w:name w:val="toc 3"/>
    <w:basedOn w:val="Normal"/>
    <w:next w:val="Normal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C05668"/>
    <w:pPr>
      <w:tabs>
        <w:tab w:val="left" w:pos="-720"/>
      </w:tabs>
      <w:suppressAutoHyphens/>
      <w:ind w:left="720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591D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C0566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05668"/>
    <w:pPr>
      <w:tabs>
        <w:tab w:val="left" w:pos="643"/>
        <w:tab w:val="left" w:pos="961"/>
        <w:tab w:val="left" w:pos="1279"/>
        <w:tab w:val="left" w:pos="1597"/>
        <w:tab w:val="left" w:pos="1915"/>
        <w:tab w:val="left" w:pos="2233"/>
        <w:tab w:val="left" w:pos="2551"/>
        <w:tab w:val="left" w:pos="2869"/>
      </w:tabs>
      <w:suppressAutoHyphens/>
    </w:pPr>
    <w:rPr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591D"/>
    <w:rPr>
      <w:rFonts w:cs="Times New Roman"/>
      <w:sz w:val="24"/>
    </w:rPr>
  </w:style>
  <w:style w:type="paragraph" w:customStyle="1" w:styleId="Head21">
    <w:name w:val="Head 2.1"/>
    <w:basedOn w:val="Normal"/>
    <w:uiPriority w:val="99"/>
    <w:rsid w:val="00C05668"/>
    <w:pPr>
      <w:suppressAutoHyphens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22">
    <w:name w:val="Head 2.2"/>
    <w:basedOn w:val="Normal"/>
    <w:uiPriority w:val="99"/>
    <w:rsid w:val="00C05668"/>
    <w:pPr>
      <w:tabs>
        <w:tab w:val="left" w:pos="360"/>
      </w:tabs>
      <w:suppressAutoHyphens/>
      <w:ind w:left="360" w:hanging="360"/>
    </w:pPr>
    <w:rPr>
      <w:b/>
      <w:bCs/>
    </w:rPr>
  </w:style>
  <w:style w:type="paragraph" w:customStyle="1" w:styleId="a">
    <w:name w:val="Îáû÷íûé"/>
    <w:uiPriority w:val="99"/>
    <w:rsid w:val="00C05668"/>
    <w:pPr>
      <w:widowControl w:val="0"/>
    </w:pPr>
    <w:rPr>
      <w:rFonts w:ascii="NTTierce" w:hAnsi="NTTierce" w:cs="NTTierce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C05668"/>
    <w:pPr>
      <w:tabs>
        <w:tab w:val="left" w:pos="540"/>
      </w:tabs>
      <w:suppressAutoHyphens/>
      <w:ind w:left="547" w:right="-72" w:hanging="547"/>
      <w:jc w:val="both"/>
    </w:pPr>
  </w:style>
  <w:style w:type="paragraph" w:styleId="BodyText3">
    <w:name w:val="Body Text 3"/>
    <w:basedOn w:val="Normal"/>
    <w:link w:val="BodyText3Char"/>
    <w:uiPriority w:val="99"/>
    <w:rsid w:val="00C05668"/>
    <w:pPr>
      <w:suppressAutoHyphens/>
      <w:jc w:val="both"/>
    </w:pPr>
    <w:rPr>
      <w:sz w:val="1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D591D"/>
    <w:rPr>
      <w:rFonts w:cs="Times New Roman"/>
      <w:sz w:val="16"/>
    </w:rPr>
  </w:style>
  <w:style w:type="paragraph" w:customStyle="1" w:styleId="Technical4">
    <w:name w:val="Technical 4"/>
    <w:uiPriority w:val="99"/>
    <w:rsid w:val="00C05668"/>
    <w:pPr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C05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591D"/>
    <w:rPr>
      <w:rFonts w:cs="Times New Roman"/>
      <w:sz w:val="24"/>
    </w:rPr>
  </w:style>
  <w:style w:type="character" w:styleId="FollowedHyperlink">
    <w:name w:val="FollowedHyperlink"/>
    <w:basedOn w:val="DefaultParagraphFont"/>
    <w:uiPriority w:val="99"/>
    <w:rsid w:val="00C05668"/>
    <w:rPr>
      <w:rFonts w:cs="Times New Roman"/>
      <w:color w:val="800080"/>
      <w:u w:val="single"/>
    </w:rPr>
  </w:style>
  <w:style w:type="character" w:customStyle="1" w:styleId="longtext">
    <w:name w:val="long_text"/>
    <w:uiPriority w:val="99"/>
    <w:rsid w:val="00E508FE"/>
  </w:style>
  <w:style w:type="paragraph" w:styleId="BodyText">
    <w:name w:val="Body Text"/>
    <w:basedOn w:val="Normal"/>
    <w:link w:val="BodyTextChar"/>
    <w:uiPriority w:val="99"/>
    <w:rsid w:val="00952EB0"/>
    <w:pPr>
      <w:spacing w:after="120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591D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0">
    <w:name w:val="Абзац списку1"/>
    <w:basedOn w:val="Normal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Strong">
    <w:name w:val="Strong"/>
    <w:basedOn w:val="DefaultParagraphFont"/>
    <w:uiPriority w:val="99"/>
    <w:qFormat/>
    <w:rsid w:val="00F745C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F50F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F3C"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526C6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6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6C68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6C6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6C68"/>
    <w:rPr>
      <w:rFonts w:cs="Times New Roman"/>
      <w:b/>
      <w:lang w:val="en-US" w:eastAsia="en-US"/>
    </w:rPr>
  </w:style>
  <w:style w:type="paragraph" w:customStyle="1" w:styleId="Sub-ClauseText">
    <w:name w:val="Sub-Clause Text"/>
    <w:basedOn w:val="Normal"/>
    <w:uiPriority w:val="99"/>
    <w:rsid w:val="00170B36"/>
    <w:pPr>
      <w:spacing w:before="120" w:after="120"/>
      <w:jc w:val="both"/>
    </w:pPr>
    <w:rPr>
      <w:spacing w:val="-4"/>
    </w:rPr>
  </w:style>
  <w:style w:type="paragraph" w:styleId="List">
    <w:name w:val="List"/>
    <w:aliases w:val="Знак Знак"/>
    <w:basedOn w:val="Normal"/>
    <w:link w:val="ListChar"/>
    <w:uiPriority w:val="99"/>
    <w:rsid w:val="00503101"/>
    <w:pPr>
      <w:ind w:left="283" w:hanging="283"/>
    </w:pPr>
    <w:rPr>
      <w:sz w:val="20"/>
      <w:szCs w:val="20"/>
      <w:lang w:val="ru-RU" w:eastAsia="ru-RU"/>
    </w:rPr>
  </w:style>
  <w:style w:type="character" w:customStyle="1" w:styleId="ListChar">
    <w:name w:val="List Char"/>
    <w:aliases w:val="Знак Знак Char"/>
    <w:link w:val="List"/>
    <w:uiPriority w:val="99"/>
    <w:locked/>
    <w:rsid w:val="00503101"/>
    <w:rPr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503101"/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D44A2"/>
    <w:rPr>
      <w:rFonts w:ascii="Courier New" w:hAnsi="Courier New" w:cs="Times New Roman"/>
      <w:sz w:val="20"/>
    </w:rPr>
  </w:style>
  <w:style w:type="paragraph" w:customStyle="1" w:styleId="BankNormal">
    <w:name w:val="BankNormal"/>
    <w:basedOn w:val="Normal"/>
    <w:uiPriority w:val="99"/>
    <w:rsid w:val="003B48BF"/>
    <w:pPr>
      <w:spacing w:after="240"/>
    </w:pPr>
  </w:style>
  <w:style w:type="paragraph" w:customStyle="1" w:styleId="SectionVHeader">
    <w:name w:val="Section V. Header"/>
    <w:basedOn w:val="Normal"/>
    <w:uiPriority w:val="99"/>
    <w:rsid w:val="005B40D2"/>
    <w:pPr>
      <w:jc w:val="center"/>
    </w:pPr>
    <w:rPr>
      <w:b/>
      <w:bCs/>
      <w:sz w:val="36"/>
      <w:szCs w:val="36"/>
    </w:rPr>
  </w:style>
  <w:style w:type="character" w:customStyle="1" w:styleId="preparersnote">
    <w:name w:val="preparer's note"/>
    <w:uiPriority w:val="99"/>
    <w:rsid w:val="005B40D2"/>
    <w:rPr>
      <w:b/>
      <w:i/>
    </w:rPr>
  </w:style>
  <w:style w:type="paragraph" w:styleId="ListParagraph">
    <w:name w:val="List Paragraph"/>
    <w:basedOn w:val="Normal"/>
    <w:uiPriority w:val="99"/>
    <w:qFormat/>
    <w:rsid w:val="001864AB"/>
    <w:pPr>
      <w:ind w:left="708"/>
    </w:pPr>
  </w:style>
  <w:style w:type="character" w:customStyle="1" w:styleId="7">
    <w:name w:val="Знак Знак7"/>
    <w:uiPriority w:val="99"/>
    <w:locked/>
    <w:rsid w:val="00D15D10"/>
    <w:rPr>
      <w:b/>
      <w:sz w:val="36"/>
      <w:lang w:val="en-US" w:eastAsia="en-US"/>
    </w:rPr>
  </w:style>
  <w:style w:type="character" w:customStyle="1" w:styleId="6">
    <w:name w:val="Знак Знак6"/>
    <w:uiPriority w:val="99"/>
    <w:semiHidden/>
    <w:locked/>
    <w:rsid w:val="00D15D10"/>
    <w:rPr>
      <w:color w:val="0000FF"/>
      <w:sz w:val="24"/>
      <w:lang w:val="en-US" w:eastAsia="en-US"/>
    </w:rPr>
  </w:style>
  <w:style w:type="character" w:customStyle="1" w:styleId="a0">
    <w:name w:val="Знак Знак Знак Знак"/>
    <w:uiPriority w:val="99"/>
    <w:rsid w:val="00D15D10"/>
    <w:rPr>
      <w:lang w:val="ru-RU" w:eastAsia="ru-RU"/>
    </w:rPr>
  </w:style>
  <w:style w:type="character" w:customStyle="1" w:styleId="3">
    <w:name w:val="Знак Знак3"/>
    <w:uiPriority w:val="99"/>
    <w:rsid w:val="00D15D10"/>
    <w:rPr>
      <w:lang w:val="en-US" w:eastAsia="en-US"/>
    </w:rPr>
  </w:style>
  <w:style w:type="character" w:customStyle="1" w:styleId="apple-style-span">
    <w:name w:val="apple-style-span"/>
    <w:uiPriority w:val="99"/>
    <w:rsid w:val="001D59FD"/>
  </w:style>
  <w:style w:type="character" w:customStyle="1" w:styleId="apple-converted-space">
    <w:name w:val="apple-converted-space"/>
    <w:uiPriority w:val="99"/>
    <w:rsid w:val="001D59FD"/>
  </w:style>
  <w:style w:type="paragraph" w:styleId="Revision">
    <w:name w:val="Revision"/>
    <w:hidden/>
    <w:uiPriority w:val="99"/>
    <w:semiHidden/>
    <w:rsid w:val="0089464E"/>
    <w:rPr>
      <w:sz w:val="24"/>
      <w:szCs w:val="24"/>
    </w:rPr>
  </w:style>
  <w:style w:type="table" w:styleId="TableGrid">
    <w:name w:val="Table Grid"/>
    <w:basedOn w:val="TableNormal"/>
    <w:locked/>
    <w:rsid w:val="0037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6">
    <w:name w:val="s26"/>
    <w:rsid w:val="006E4953"/>
    <w:rPr>
      <w:b/>
      <w:bCs/>
    </w:rPr>
  </w:style>
  <w:style w:type="paragraph" w:customStyle="1" w:styleId="p42">
    <w:name w:val="p42"/>
    <w:basedOn w:val="Normal"/>
    <w:uiPriority w:val="99"/>
    <w:rsid w:val="006E4953"/>
    <w:pPr>
      <w:spacing w:before="100" w:beforeAutospacing="1" w:after="100" w:afterAutospacing="1"/>
    </w:pPr>
    <w:rPr>
      <w:rFonts w:ascii="Times New Roman CYR" w:hAnsi="Times New Roman CYR" w:cs="Times New Roman CYR"/>
      <w:lang w:val="ru-RU" w:eastAsia="ru-RU"/>
    </w:rPr>
  </w:style>
  <w:style w:type="character" w:customStyle="1" w:styleId="s211">
    <w:name w:val="s211"/>
    <w:rsid w:val="006E4953"/>
    <w:rPr>
      <w:sz w:val="20"/>
      <w:szCs w:val="20"/>
      <w:vertAlign w:val="superscript"/>
    </w:rPr>
  </w:style>
  <w:style w:type="character" w:customStyle="1" w:styleId="s221">
    <w:name w:val="s221"/>
    <w:rsid w:val="006E4953"/>
    <w:rPr>
      <w:u w:val="single"/>
    </w:rPr>
  </w:style>
  <w:style w:type="paragraph" w:customStyle="1" w:styleId="p3">
    <w:name w:val="p3"/>
    <w:basedOn w:val="Normal"/>
    <w:uiPriority w:val="99"/>
    <w:rsid w:val="006E4953"/>
    <w:pPr>
      <w:spacing w:before="100" w:beforeAutospacing="1" w:after="100" w:afterAutospacing="1"/>
      <w:jc w:val="both"/>
    </w:pPr>
    <w:rPr>
      <w:lang w:val="ru-RU" w:eastAsia="ru-RU"/>
    </w:rPr>
  </w:style>
  <w:style w:type="character" w:customStyle="1" w:styleId="s241">
    <w:name w:val="s241"/>
    <w:rsid w:val="006E4953"/>
    <w:rPr>
      <w:rFonts w:ascii="Times New Roman" w:hAnsi="Times New Roman" w:cs="Times New Roman" w:hint="default"/>
      <w:u w:val="single"/>
    </w:rPr>
  </w:style>
  <w:style w:type="paragraph" w:customStyle="1" w:styleId="PATHheading3">
    <w:name w:val="PATH heading 3"/>
    <w:basedOn w:val="Normal"/>
    <w:rsid w:val="00AF76AA"/>
    <w:pPr>
      <w:spacing w:before="360" w:after="120" w:line="280" w:lineRule="exact"/>
    </w:pPr>
    <w:rPr>
      <w:rFonts w:eastAsiaTheme="minorHAnsi"/>
      <w:b/>
      <w:bCs/>
      <w:spacing w:val="5"/>
      <w:sz w:val="22"/>
      <w:szCs w:val="22"/>
    </w:rPr>
  </w:style>
  <w:style w:type="paragraph" w:customStyle="1" w:styleId="PATHbodytext">
    <w:name w:val="PATH body text"/>
    <w:basedOn w:val="Normal"/>
    <w:rsid w:val="00AF76AA"/>
    <w:pPr>
      <w:spacing w:after="180" w:line="320" w:lineRule="atLeast"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277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helpdesk.worldbank.org/knowledgebase/articles/906519-world-bank-country-and-lending-grou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4AE7-3A9A-4F15-A995-385ACC9E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BIDDING DOCUMENTS</vt:lpstr>
      <vt:lpstr>BIDDING DOCUMENTS</vt:lpstr>
    </vt:vector>
  </TitlesOfParts>
  <Company>POLICY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BIDDING DOCUMENTS</dc:title>
  <dc:subject/>
  <dc:creator>temp</dc:creator>
  <cp:keywords/>
  <dc:description/>
  <cp:lastModifiedBy>Olena Ivanova</cp:lastModifiedBy>
  <cp:revision>6</cp:revision>
  <cp:lastPrinted>2011-10-20T07:55:00Z</cp:lastPrinted>
  <dcterms:created xsi:type="dcterms:W3CDTF">2023-03-22T11:24:00Z</dcterms:created>
  <dcterms:modified xsi:type="dcterms:W3CDTF">2023-03-22T11:59:00Z</dcterms:modified>
</cp:coreProperties>
</file>