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spacing w:before="0" w:line="240" w:lineRule="auto"/>
        <w:jc w:val="right"/>
        <w:rPr>
          <w:b w:val="1"/>
          <w:bCs w:val="1"/>
          <w:sz w:val="30"/>
          <w:szCs w:val="30"/>
        </w:rPr>
      </w:pPr>
      <w:r>
        <w:rPr>
          <w:b w:val="1"/>
          <w:bCs w:val="1"/>
          <w:sz w:val="30"/>
          <w:szCs w:val="30"/>
          <w:rtl w:val="0"/>
          <w:lang w:val="ru-RU"/>
        </w:rPr>
        <w:t>Додаток</w:t>
      </w:r>
      <w:r>
        <w:rPr>
          <w:b w:val="1"/>
          <w:bCs w:val="1"/>
          <w:sz w:val="30"/>
          <w:szCs w:val="30"/>
          <w:rtl w:val="0"/>
          <w:lang w:val="en-US"/>
        </w:rPr>
        <w:t xml:space="preserve"> 5 / Annex 5</w:t>
      </w:r>
    </w:p>
    <w:p>
      <w:pPr>
        <w:pStyle w:val="Default"/>
        <w:spacing w:before="0" w:line="240" w:lineRule="auto"/>
        <w:jc w:val="both"/>
        <w:rPr>
          <w:b w:val="1"/>
          <w:bCs w:val="1"/>
          <w:sz w:val="22"/>
          <w:szCs w:val="22"/>
        </w:rPr>
      </w:pPr>
    </w:p>
    <w:p>
      <w:pPr>
        <w:pStyle w:val="Default"/>
        <w:spacing w:before="0" w:line="240" w:lineRule="auto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Evaluation of the proposals of a potential service supplier, Project UKRZ000074</w:t>
      </w:r>
    </w:p>
    <w:p>
      <w:pPr>
        <w:pStyle w:val="Default"/>
        <w:spacing w:before="0" w:line="240" w:lineRule="auto"/>
        <w:jc w:val="both"/>
        <w:rPr>
          <w:b w:val="1"/>
          <w:bCs w:val="1"/>
          <w:sz w:val="22"/>
          <w:szCs w:val="22"/>
        </w:rPr>
      </w:pP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Each working plan will be evaluated according to the criteria below, using a 100-point scale:</w:t>
      </w: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 xml:space="preserve">Compliance of the plan </w:t>
      </w:r>
      <w:r>
        <w:rPr>
          <w:b w:val="1"/>
          <w:bCs w:val="1"/>
          <w:sz w:val="22"/>
          <w:szCs w:val="22"/>
          <w:rtl w:val="0"/>
          <w:lang w:val="en-US"/>
        </w:rPr>
        <w:t>(Annex 4)</w:t>
      </w:r>
      <w:r>
        <w:rPr>
          <w:sz w:val="22"/>
          <w:szCs w:val="22"/>
          <w:rtl w:val="0"/>
          <w:lang w:val="en-US"/>
        </w:rPr>
        <w:t xml:space="preserve"> with the conditions of the competition (whether and how (feasible /non-feasible and whether outputs will lead to outcomes) at least </w:t>
      </w:r>
      <w:r>
        <w:rPr>
          <w:sz w:val="22"/>
          <w:szCs w:val="22"/>
          <w:rtl w:val="0"/>
        </w:rPr>
        <w:t>2</w:t>
      </w:r>
      <w:r>
        <w:rPr>
          <w:sz w:val="22"/>
          <w:szCs w:val="22"/>
          <w:rtl w:val="0"/>
          <w:lang w:val="en-US"/>
        </w:rPr>
        <w:t xml:space="preserve"> Recommendations </w:t>
      </w:r>
      <w:r>
        <w:rPr>
          <w:sz w:val="22"/>
          <w:szCs w:val="22"/>
          <w:rtl w:val="0"/>
          <w:lang w:val="en-US"/>
        </w:rPr>
        <w:t xml:space="preserve">from </w:t>
      </w:r>
      <w:r>
        <w:rPr>
          <w:sz w:val="22"/>
          <w:szCs w:val="22"/>
          <w:rtl w:val="0"/>
          <w:lang w:val="en-US"/>
        </w:rPr>
        <w:t xml:space="preserve">the proposed reports will be implemented) </w:t>
      </w:r>
      <w:r>
        <w:rPr>
          <w:sz w:val="22"/>
          <w:szCs w:val="22"/>
          <w:rtl w:val="0"/>
          <w:lang w:val="en-US"/>
        </w:rPr>
        <w:t xml:space="preserve">— </w:t>
      </w:r>
      <w:r>
        <w:rPr>
          <w:sz w:val="22"/>
          <w:szCs w:val="22"/>
          <w:rtl w:val="0"/>
          <w:lang w:val="en-US"/>
        </w:rPr>
        <w:t>50 %</w:t>
      </w: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Compliance of the CSO to the basic criteri</w:t>
      </w:r>
      <w:r>
        <w:rPr>
          <w:sz w:val="22"/>
          <w:szCs w:val="22"/>
          <w:rtl w:val="0"/>
          <w:lang w:val="en-US"/>
        </w:rPr>
        <w:t>a</w:t>
      </w:r>
      <w:r>
        <w:rPr>
          <w:sz w:val="22"/>
          <w:szCs w:val="22"/>
          <w:rtl w:val="0"/>
          <w:lang w:val="en-US"/>
        </w:rPr>
        <w:t xml:space="preserve"> of eligibility* </w:t>
      </w:r>
      <w:r>
        <w:rPr>
          <w:sz w:val="22"/>
          <w:szCs w:val="22"/>
          <w:rtl w:val="0"/>
          <w:lang w:val="en-US"/>
        </w:rPr>
        <w:t xml:space="preserve">– </w:t>
      </w:r>
      <w:r>
        <w:rPr>
          <w:sz w:val="22"/>
          <w:szCs w:val="22"/>
          <w:rtl w:val="0"/>
          <w:lang w:val="en-US"/>
        </w:rPr>
        <w:t>30%</w:t>
      </w:r>
      <w:r>
        <w:rPr>
          <w:sz w:val="22"/>
          <w:szCs w:val="22"/>
          <w:rtl w:val="0"/>
          <w:lang w:val="en-US"/>
        </w:rPr>
        <w:t xml:space="preserve"> (1</w:t>
      </w:r>
      <w:r>
        <w:rPr>
          <w:sz w:val="22"/>
          <w:szCs w:val="22"/>
          <w:rtl w:val="0"/>
          <w:lang w:val="en-US"/>
        </w:rPr>
        <w:t>5% for each criterion).</w:t>
      </w: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 xml:space="preserve">Compliance of the CSO to the additional criteria of eligibility** </w:t>
      </w:r>
      <w:r>
        <w:rPr>
          <w:sz w:val="22"/>
          <w:szCs w:val="22"/>
          <w:rtl w:val="0"/>
          <w:lang w:val="en-US"/>
        </w:rPr>
        <w:t xml:space="preserve">– </w:t>
      </w:r>
      <w:r>
        <w:rPr>
          <w:sz w:val="22"/>
          <w:szCs w:val="22"/>
          <w:rtl w:val="0"/>
          <w:lang w:val="en-US"/>
        </w:rPr>
        <w:t>20% (5% for each criterion).</w:t>
      </w: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——</w:t>
      </w: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*</w:t>
      </w:r>
      <w:r>
        <w:rPr>
          <w:sz w:val="22"/>
          <w:szCs w:val="22"/>
          <w:u w:val="single"/>
          <w:rtl w:val="0"/>
          <w:lang w:val="en-US"/>
        </w:rPr>
        <w:t>Basic criter</w:t>
      </w:r>
      <w:r>
        <w:rPr>
          <w:sz w:val="22"/>
          <w:szCs w:val="22"/>
          <w:u w:val="single"/>
          <w:rtl w:val="0"/>
          <w:lang w:val="en-US"/>
        </w:rPr>
        <w:t>ia</w:t>
      </w:r>
      <w:r>
        <w:rPr>
          <w:sz w:val="22"/>
          <w:szCs w:val="22"/>
          <w:u w:val="single"/>
          <w:rtl w:val="0"/>
          <w:lang w:val="en-US"/>
        </w:rPr>
        <w:t xml:space="preserve"> of eligibility</w:t>
      </w:r>
      <w:r>
        <w:rPr>
          <w:sz w:val="22"/>
          <w:szCs w:val="22"/>
          <w:rtl w:val="0"/>
          <w:lang w:val="en-US"/>
        </w:rPr>
        <w:t>:</w:t>
      </w: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—</w:t>
      </w:r>
      <w:r>
        <w:rPr>
          <w:sz w:val="22"/>
          <w:szCs w:val="22"/>
          <w:rtl w:val="0"/>
          <w:lang w:val="en-US"/>
        </w:rPr>
        <w:t xml:space="preserve">Registered </w:t>
      </w:r>
      <w:r>
        <w:rPr>
          <w:sz w:val="22"/>
          <w:szCs w:val="22"/>
          <w:rtl w:val="0"/>
          <w:lang w:val="en-US"/>
        </w:rPr>
        <w:t xml:space="preserve">CSOs </w:t>
      </w:r>
      <w:r>
        <w:rPr>
          <w:sz w:val="22"/>
          <w:szCs w:val="22"/>
          <w:rtl w:val="0"/>
          <w:lang w:val="en-US"/>
        </w:rPr>
        <w:t xml:space="preserve">based and operating </w:t>
      </w:r>
      <w:r>
        <w:rPr>
          <w:sz w:val="22"/>
          <w:szCs w:val="22"/>
          <w:rtl w:val="0"/>
          <w:lang w:val="en-US"/>
        </w:rPr>
        <w:t xml:space="preserve">in </w:t>
      </w:r>
      <w:r>
        <w:rPr>
          <w:sz w:val="22"/>
          <w:szCs w:val="22"/>
          <w:rtl w:val="0"/>
          <w:lang w:val="en-US"/>
        </w:rPr>
        <w:t xml:space="preserve">one of localities of </w:t>
      </w:r>
      <w:r>
        <w:rPr>
          <w:sz w:val="22"/>
          <w:szCs w:val="22"/>
          <w:rtl w:val="0"/>
          <w:lang w:val="en-US"/>
        </w:rPr>
        <w:t xml:space="preserve">Luhansk and Donetsk regions </w:t>
      </w:r>
      <w:r>
        <w:rPr>
          <w:sz w:val="22"/>
          <w:szCs w:val="22"/>
          <w:rtl w:val="0"/>
          <w:lang w:val="en-US"/>
        </w:rPr>
        <w:t>listed below</w:t>
      </w:r>
      <w:r>
        <w:rPr>
          <w:sz w:val="22"/>
          <w:szCs w:val="22"/>
          <w:rtl w:val="0"/>
          <w:lang w:val="en-US"/>
        </w:rPr>
        <w:t>. The organisations must not represent any political parties.</w:t>
      </w: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—</w:t>
      </w:r>
      <w:r>
        <w:rPr>
          <w:rtl w:val="0"/>
          <w:lang w:val="en-US"/>
        </w:rPr>
        <w:t xml:space="preserve"> </w:t>
      </w:r>
      <w:r>
        <w:rPr>
          <w:sz w:val="22"/>
          <w:szCs w:val="22"/>
          <w:rtl w:val="0"/>
          <w:lang w:val="en-US"/>
        </w:rPr>
        <w:t>CSOs</w:t>
      </w:r>
      <w:r>
        <w:rPr>
          <w:sz w:val="22"/>
          <w:szCs w:val="22"/>
          <w:rtl w:val="0"/>
          <w:lang w:val="en-US"/>
        </w:rPr>
        <w:t xml:space="preserve"> that have not yet received financial support from PIN Ukraine for the implementation of the Recommendations from </w:t>
      </w:r>
      <w:r>
        <w:rPr>
          <w:sz w:val="22"/>
          <w:szCs w:val="22"/>
          <w:rtl w:val="0"/>
          <w:lang w:val="en-US"/>
        </w:rPr>
        <w:t>the proposed reports</w:t>
      </w:r>
      <w:r>
        <w:rPr>
          <w:sz w:val="22"/>
          <w:szCs w:val="22"/>
          <w:rtl w:val="0"/>
          <w:lang w:val="en-US"/>
        </w:rPr>
        <w:t xml:space="preserve"> and/or are not a current grantee of PIN Ukraine for other projects.</w:t>
      </w: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**</w:t>
      </w:r>
      <w:r>
        <w:rPr>
          <w:sz w:val="22"/>
          <w:szCs w:val="22"/>
          <w:u w:val="single"/>
          <w:rtl w:val="0"/>
          <w:lang w:val="en-US"/>
        </w:rPr>
        <w:t>Additional criteria</w:t>
      </w:r>
      <w:r>
        <w:rPr>
          <w:sz w:val="22"/>
          <w:szCs w:val="22"/>
          <w:rtl w:val="0"/>
          <w:lang w:val="en-US"/>
        </w:rPr>
        <w:t>:</w:t>
      </w: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 xml:space="preserve">— </w:t>
      </w:r>
      <w:r>
        <w:rPr>
          <w:sz w:val="22"/>
          <w:szCs w:val="22"/>
          <w:rtl w:val="0"/>
          <w:lang w:val="en-US"/>
        </w:rPr>
        <w:t>being a member or direct contributor of the Vilnius Task Force will be an advantage;</w:t>
      </w: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 xml:space="preserve">— </w:t>
      </w:r>
      <w:r>
        <w:rPr>
          <w:sz w:val="22"/>
          <w:szCs w:val="22"/>
          <w:rtl w:val="0"/>
          <w:lang w:val="en-US"/>
        </w:rPr>
        <w:t xml:space="preserve">active engagement in local participatory mechanisms/democracy promotion and/or in projects aimed to enhance a dialogue between civil society and local authorities in Luhansk and Donetsk regions will be a plus; </w:t>
      </w: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—</w:t>
      </w:r>
      <w:r>
        <w:rPr>
          <w:sz w:val="22"/>
          <w:szCs w:val="22"/>
          <w:rtl w:val="0"/>
          <w:lang w:val="en-US"/>
        </w:rPr>
        <w:t>implementing community oriented initiatives in cooperation with local authorities will be an advantage;</w:t>
      </w: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—</w:t>
      </w:r>
      <w:r>
        <w:rPr>
          <w:sz w:val="22"/>
          <w:szCs w:val="22"/>
          <w:rtl w:val="0"/>
          <w:lang w:val="en-US"/>
        </w:rPr>
        <w:t>being a member of an alliance with other CSOs, volunteer networks, local governmental bodies, schools, universities, private sector and other organisations will be a plus.</w:t>
      </w: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</w:p>
    <w:p>
      <w:pPr>
        <w:pStyle w:val="Default"/>
        <w:spacing w:before="0" w:line="240" w:lineRule="auto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List of localities</w:t>
      </w:r>
      <w:r>
        <w:rPr>
          <w:b w:val="1"/>
          <w:bCs w:val="1"/>
          <w:sz w:val="22"/>
          <w:szCs w:val="22"/>
          <w:rtl w:val="0"/>
          <w:lang w:val="en-US"/>
        </w:rPr>
        <w:t>:</w:t>
      </w: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1) Donetsk region</w:t>
      </w: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Bakhmutskyi raion:</w:t>
      </w: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 xml:space="preserve">Svitlodarska Community (Svitlodarsk, Vozdvyzhenka, Zhovanka, Maiorsk, Pisky 2, Bakhmutka, Luhanske, Travneve, Hladosove, Novoluhanske, Myronivskyi, Kodema); Bakhmutska Community (Ivanivske, Opytne, Zaitseve, Pokrovske, Klynove), Toretska Community (Toretsk, Shcherbynivka, New York, Zalizne, Pivnichne, Nelipivka), </w:t>
      </w: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Pokrovskyi raion:</w:t>
      </w: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Marinska Community (Marinka, Heorhiivka); Avdiivska Community (Avdiivka)</w:t>
      </w: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Volnovaskyi raion:</w:t>
      </w: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Vuhledarska Community (Vuhledar, Stepne, Berezove)</w:t>
      </w: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Ocheretynska Community (Verkhniotoretske)</w:t>
      </w: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2) Luhansk region</w:t>
      </w: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Sievierodonetskyi raion:</w:t>
      </w: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 xml:space="preserve">Popasnianska Community (Popasna, Troitske, Novozvanivka, Komyshuvakha, Novoivanivka, Vrubivka), </w:t>
      </w: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 xml:space="preserve">Hirska Community (Hirske, Novotoshkivske, Nyzhne, Katerynivka, Zolote 4, Zolote 2, Zolote, Toshkivka, Orikhove), </w:t>
      </w: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Lysychanska Community (Loskutivka)</w:t>
      </w: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Sievierodonetska Community (Sievierodonetsk, Bobrove, Borivske, Syrotyne)</w:t>
      </w: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</w:p>
    <w:p>
      <w:pPr>
        <w:pStyle w:val="Default"/>
        <w:spacing w:before="0" w:line="240" w:lineRule="auto"/>
        <w:jc w:val="both"/>
        <w:rPr>
          <w:sz w:val="22"/>
          <w:szCs w:val="22"/>
        </w:rPr>
      </w:pPr>
    </w:p>
    <w:p>
      <w:pPr>
        <w:pStyle w:val="Default"/>
        <w:spacing w:before="0" w:line="240" w:lineRule="auto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>Оцінка робоч</w:t>
      </w:r>
      <w:r>
        <w:rPr>
          <w:b w:val="1"/>
          <w:bCs w:val="1"/>
          <w:sz w:val="22"/>
          <w:szCs w:val="22"/>
          <w:rtl w:val="0"/>
          <w:lang w:val="ru-RU"/>
        </w:rPr>
        <w:t>и</w:t>
      </w:r>
      <w:r>
        <w:rPr>
          <w:b w:val="1"/>
          <w:bCs w:val="1"/>
          <w:sz w:val="22"/>
          <w:szCs w:val="22"/>
          <w:rtl w:val="0"/>
          <w:lang w:val="ru-RU"/>
        </w:rPr>
        <w:t>х планів потенційного надавача послуг</w:t>
      </w:r>
      <w:r>
        <w:rPr>
          <w:b w:val="1"/>
          <w:bCs w:val="1"/>
          <w:sz w:val="22"/>
          <w:szCs w:val="22"/>
          <w:rtl w:val="0"/>
          <w:lang w:val="ru-RU"/>
        </w:rPr>
        <w:t xml:space="preserve">, </w:t>
      </w:r>
      <w:r>
        <w:rPr>
          <w:b w:val="1"/>
          <w:bCs w:val="1"/>
          <w:sz w:val="22"/>
          <w:szCs w:val="22"/>
          <w:rtl w:val="0"/>
          <w:lang w:val="ru-RU"/>
        </w:rPr>
        <w:t xml:space="preserve">проєкт </w:t>
      </w:r>
      <w:r>
        <w:rPr>
          <w:b w:val="1"/>
          <w:bCs w:val="1"/>
          <w:sz w:val="22"/>
          <w:szCs w:val="22"/>
          <w:rtl w:val="0"/>
          <w:lang w:val="ru-RU"/>
        </w:rPr>
        <w:t>UKRZ000074</w:t>
      </w:r>
    </w:p>
    <w:p>
      <w:pPr>
        <w:pStyle w:val="Default"/>
        <w:spacing w:before="0" w:line="240" w:lineRule="auto"/>
        <w:jc w:val="both"/>
        <w:rPr>
          <w:sz w:val="22"/>
          <w:szCs w:val="22"/>
          <w:lang w:val="ru-RU"/>
        </w:rPr>
      </w:pPr>
    </w:p>
    <w:p>
      <w:pPr>
        <w:pStyle w:val="Default"/>
        <w:spacing w:before="0" w:line="240" w:lineRule="auto"/>
        <w:jc w:val="both"/>
        <w:rPr>
          <w:sz w:val="22"/>
          <w:szCs w:val="22"/>
          <w:lang w:val="ru-RU"/>
        </w:rPr>
      </w:pPr>
      <w:r>
        <w:rPr>
          <w:sz w:val="22"/>
          <w:szCs w:val="22"/>
          <w:rtl w:val="0"/>
          <w:lang w:val="ru-RU"/>
        </w:rPr>
        <w:t>Кожен робоч</w:t>
      </w:r>
      <w:r>
        <w:rPr>
          <w:sz w:val="22"/>
          <w:szCs w:val="22"/>
          <w:rtl w:val="0"/>
          <w:lang w:val="ru-RU"/>
        </w:rPr>
        <w:t>и</w:t>
      </w:r>
      <w:r>
        <w:rPr>
          <w:sz w:val="22"/>
          <w:szCs w:val="22"/>
          <w:rtl w:val="0"/>
          <w:lang w:val="ru-RU"/>
        </w:rPr>
        <w:t xml:space="preserve">й план </w:t>
      </w:r>
      <w:r>
        <w:rPr>
          <w:b w:val="1"/>
          <w:bCs w:val="1"/>
          <w:sz w:val="22"/>
          <w:szCs w:val="22"/>
          <w:rtl w:val="0"/>
          <w:lang w:val="ru-RU"/>
        </w:rPr>
        <w:t>(</w:t>
      </w:r>
      <w:r>
        <w:rPr>
          <w:b w:val="1"/>
          <w:bCs w:val="1"/>
          <w:sz w:val="22"/>
          <w:szCs w:val="22"/>
          <w:rtl w:val="0"/>
          <w:lang w:val="ru-RU"/>
        </w:rPr>
        <w:t xml:space="preserve">Додаток </w:t>
      </w:r>
      <w:r>
        <w:rPr>
          <w:b w:val="1"/>
          <w:bCs w:val="1"/>
          <w:sz w:val="22"/>
          <w:szCs w:val="22"/>
          <w:rtl w:val="0"/>
          <w:lang w:val="ru-RU"/>
        </w:rPr>
        <w:t>4)</w:t>
      </w:r>
      <w:r>
        <w:rPr>
          <w:sz w:val="22"/>
          <w:szCs w:val="22"/>
          <w:rtl w:val="0"/>
          <w:lang w:val="ru-RU"/>
        </w:rPr>
        <w:t xml:space="preserve"> оцінюватиметься за критеріями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наведеними нижче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 xml:space="preserve">за </w:t>
      </w:r>
      <w:r>
        <w:rPr>
          <w:sz w:val="22"/>
          <w:szCs w:val="22"/>
          <w:rtl w:val="0"/>
          <w:lang w:val="ru-RU"/>
        </w:rPr>
        <w:t>100-</w:t>
      </w:r>
      <w:r>
        <w:rPr>
          <w:sz w:val="22"/>
          <w:szCs w:val="22"/>
          <w:rtl w:val="0"/>
          <w:lang w:val="ru-RU"/>
        </w:rPr>
        <w:t>бальною шкалою</w:t>
      </w:r>
      <w:r>
        <w:rPr>
          <w:sz w:val="22"/>
          <w:szCs w:val="22"/>
          <w:rtl w:val="0"/>
          <w:lang w:val="ru-RU"/>
        </w:rPr>
        <w:t>:</w:t>
      </w:r>
    </w:p>
    <w:p>
      <w:pPr>
        <w:pStyle w:val="Default"/>
        <w:spacing w:before="0" w:line="240" w:lineRule="auto"/>
        <w:jc w:val="both"/>
        <w:rPr>
          <w:sz w:val="22"/>
          <w:szCs w:val="22"/>
          <w:lang w:val="ru-RU"/>
        </w:rPr>
      </w:pPr>
    </w:p>
    <w:p>
      <w:pPr>
        <w:pStyle w:val="Default"/>
        <w:spacing w:before="0" w:line="240" w:lineRule="auto"/>
        <w:jc w:val="both"/>
        <w:rPr>
          <w:sz w:val="22"/>
          <w:szCs w:val="22"/>
          <w:lang w:val="ru-RU"/>
        </w:rPr>
      </w:pPr>
      <w:r>
        <w:rPr>
          <w:sz w:val="22"/>
          <w:szCs w:val="22"/>
          <w:rtl w:val="0"/>
          <w:lang w:val="ru-RU"/>
        </w:rPr>
        <w:t xml:space="preserve">Відповідність плану умовам конкурсу </w:t>
      </w:r>
      <w:r>
        <w:rPr>
          <w:sz w:val="22"/>
          <w:szCs w:val="22"/>
          <w:rtl w:val="0"/>
          <w:lang w:val="ru-RU"/>
        </w:rPr>
        <w:t>(</w:t>
      </w:r>
      <w:r>
        <w:rPr>
          <w:b w:val="1"/>
          <w:bCs w:val="1"/>
          <w:sz w:val="22"/>
          <w:szCs w:val="22"/>
          <w:rtl w:val="0"/>
          <w:lang w:val="ru-RU"/>
        </w:rPr>
        <w:t xml:space="preserve">чи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так</w:t>
      </w:r>
      <w:r>
        <w:rPr>
          <w:sz w:val="22"/>
          <w:szCs w:val="22"/>
          <w:rtl w:val="0"/>
          <w:lang w:val="ru-RU"/>
        </w:rPr>
        <w:t>/</w:t>
      </w:r>
      <w:r>
        <w:rPr>
          <w:sz w:val="22"/>
          <w:szCs w:val="22"/>
          <w:rtl w:val="0"/>
          <w:lang w:val="ru-RU"/>
        </w:rPr>
        <w:t>ні</w:t>
      </w:r>
      <w:r>
        <w:rPr>
          <w:sz w:val="22"/>
          <w:szCs w:val="22"/>
          <w:rtl w:val="0"/>
          <w:lang w:val="ru-RU"/>
        </w:rPr>
        <w:t xml:space="preserve">) </w:t>
      </w:r>
      <w:r>
        <w:rPr>
          <w:sz w:val="22"/>
          <w:szCs w:val="22"/>
          <w:rtl w:val="0"/>
          <w:lang w:val="ru-RU"/>
        </w:rPr>
        <w:t xml:space="preserve">і </w:t>
      </w:r>
      <w:r>
        <w:rPr>
          <w:b w:val="1"/>
          <w:bCs w:val="1"/>
          <w:sz w:val="22"/>
          <w:szCs w:val="22"/>
          <w:rtl w:val="0"/>
          <w:lang w:val="ru-RU"/>
        </w:rPr>
        <w:t xml:space="preserve">як </w:t>
      </w:r>
      <w:r>
        <w:rPr>
          <w:sz w:val="22"/>
          <w:szCs w:val="22"/>
          <w:rtl w:val="0"/>
          <w:lang w:val="ru-RU"/>
        </w:rPr>
        <w:t xml:space="preserve">принаймні </w:t>
      </w:r>
      <w:r>
        <w:rPr>
          <w:sz w:val="22"/>
          <w:szCs w:val="22"/>
          <w:rtl w:val="0"/>
          <w:lang w:val="en-US"/>
        </w:rPr>
        <w:t>2</w:t>
      </w:r>
      <w:r>
        <w:rPr>
          <w:sz w:val="22"/>
          <w:szCs w:val="22"/>
          <w:rtl w:val="0"/>
          <w:lang w:val="ru-RU"/>
        </w:rPr>
        <w:t xml:space="preserve"> рекомендації запропонованих звітів будуть виконані — орієнтуємось на те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 xml:space="preserve">наскільки план реалістичний </w:t>
      </w:r>
      <w:r>
        <w:rPr>
          <w:sz w:val="22"/>
          <w:szCs w:val="22"/>
          <w:rtl w:val="0"/>
          <w:lang w:val="ru-RU"/>
        </w:rPr>
        <w:t xml:space="preserve">/ </w:t>
      </w:r>
      <w:r>
        <w:rPr>
          <w:sz w:val="22"/>
          <w:szCs w:val="22"/>
          <w:rtl w:val="0"/>
          <w:lang w:val="ru-RU"/>
        </w:rPr>
        <w:t>нереалістичний та наскільки запропоновані заходи можуть призвести до заявлених результатів</w:t>
      </w:r>
      <w:r>
        <w:rPr>
          <w:sz w:val="22"/>
          <w:szCs w:val="22"/>
          <w:rtl w:val="0"/>
          <w:lang w:val="ru-RU"/>
        </w:rPr>
        <w:t>)</w:t>
      </w:r>
      <w:r>
        <w:rPr>
          <w:sz w:val="22"/>
          <w:szCs w:val="22"/>
          <w:rtl w:val="0"/>
          <w:lang w:val="ru-RU"/>
        </w:rPr>
        <w:t>—</w:t>
      </w:r>
      <w:r>
        <w:rPr>
          <w:sz w:val="22"/>
          <w:szCs w:val="22"/>
          <w:rtl w:val="0"/>
          <w:lang w:val="ru-RU"/>
        </w:rPr>
        <w:t>50 %</w:t>
      </w:r>
    </w:p>
    <w:p>
      <w:pPr>
        <w:pStyle w:val="Default"/>
        <w:spacing w:before="0" w:line="240" w:lineRule="auto"/>
        <w:jc w:val="both"/>
        <w:rPr>
          <w:sz w:val="22"/>
          <w:szCs w:val="22"/>
          <w:lang w:val="ru-RU"/>
        </w:rPr>
      </w:pPr>
    </w:p>
    <w:p>
      <w:pPr>
        <w:pStyle w:val="Default"/>
        <w:spacing w:before="0" w:line="240" w:lineRule="auto"/>
        <w:jc w:val="both"/>
        <w:rPr>
          <w:sz w:val="22"/>
          <w:szCs w:val="22"/>
          <w:lang w:val="ru-RU"/>
        </w:rPr>
      </w:pPr>
      <w:r>
        <w:rPr>
          <w:sz w:val="22"/>
          <w:szCs w:val="22"/>
          <w:rtl w:val="0"/>
          <w:lang w:val="ru-RU"/>
        </w:rPr>
        <w:t>Відповідність ОГС базов</w:t>
      </w:r>
      <w:r>
        <w:rPr>
          <w:sz w:val="22"/>
          <w:szCs w:val="22"/>
          <w:rtl w:val="0"/>
          <w:lang w:val="ru-RU"/>
        </w:rPr>
        <w:t>им</w:t>
      </w:r>
      <w:r>
        <w:rPr>
          <w:sz w:val="22"/>
          <w:szCs w:val="22"/>
          <w:rtl w:val="0"/>
          <w:lang w:val="ru-RU"/>
        </w:rPr>
        <w:t xml:space="preserve"> критері</w:t>
      </w:r>
      <w:r>
        <w:rPr>
          <w:sz w:val="22"/>
          <w:szCs w:val="22"/>
          <w:rtl w:val="0"/>
          <w:lang w:val="ru-RU"/>
        </w:rPr>
        <w:t>ям</w:t>
      </w:r>
      <w:r>
        <w:rPr>
          <w:sz w:val="22"/>
          <w:szCs w:val="22"/>
          <w:rtl w:val="0"/>
          <w:lang w:val="ru-RU"/>
        </w:rPr>
        <w:t xml:space="preserve"> відповідності</w:t>
      </w:r>
      <w:r>
        <w:rPr>
          <w:sz w:val="22"/>
          <w:szCs w:val="22"/>
          <w:rtl w:val="0"/>
          <w:lang w:val="ru-RU"/>
        </w:rPr>
        <w:t>* - 30%</w:t>
      </w:r>
      <w:r>
        <w:rPr>
          <w:sz w:val="22"/>
          <w:szCs w:val="22"/>
          <w:rtl w:val="0"/>
          <w:lang w:val="en-US"/>
        </w:rPr>
        <w:t xml:space="preserve">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en-US"/>
        </w:rPr>
        <w:t>1</w:t>
      </w:r>
      <w:r>
        <w:rPr>
          <w:sz w:val="22"/>
          <w:szCs w:val="22"/>
          <w:rtl w:val="0"/>
          <w:lang w:val="ru-RU"/>
        </w:rPr>
        <w:t xml:space="preserve">5% </w:t>
      </w:r>
      <w:r>
        <w:rPr>
          <w:sz w:val="22"/>
          <w:szCs w:val="22"/>
          <w:rtl w:val="0"/>
          <w:lang w:val="ru-RU"/>
        </w:rPr>
        <w:t>за кожен критерій</w:t>
      </w:r>
      <w:r>
        <w:rPr>
          <w:sz w:val="22"/>
          <w:szCs w:val="22"/>
          <w:rtl w:val="0"/>
          <w:lang w:val="ru-RU"/>
        </w:rPr>
        <w:t>)..</w:t>
      </w:r>
    </w:p>
    <w:p>
      <w:pPr>
        <w:pStyle w:val="Default"/>
        <w:spacing w:before="0" w:line="240" w:lineRule="auto"/>
        <w:jc w:val="both"/>
        <w:rPr>
          <w:sz w:val="22"/>
          <w:szCs w:val="22"/>
          <w:lang w:val="ru-RU"/>
        </w:rPr>
      </w:pPr>
    </w:p>
    <w:p>
      <w:pPr>
        <w:pStyle w:val="Default"/>
        <w:spacing w:before="0" w:line="240" w:lineRule="auto"/>
        <w:jc w:val="both"/>
        <w:rPr>
          <w:sz w:val="22"/>
          <w:szCs w:val="22"/>
          <w:lang w:val="ru-RU"/>
        </w:rPr>
      </w:pPr>
      <w:r>
        <w:rPr>
          <w:sz w:val="22"/>
          <w:szCs w:val="22"/>
          <w:rtl w:val="0"/>
          <w:lang w:val="ru-RU"/>
        </w:rPr>
        <w:t xml:space="preserve">Відповідність ОГС додатковим критеріям відповідності </w:t>
      </w:r>
      <w:r>
        <w:rPr>
          <w:sz w:val="22"/>
          <w:szCs w:val="22"/>
          <w:rtl w:val="0"/>
          <w:lang w:val="ru-RU"/>
        </w:rPr>
        <w:t xml:space="preserve">**- 20% (5% </w:t>
      </w:r>
      <w:r>
        <w:rPr>
          <w:sz w:val="22"/>
          <w:szCs w:val="22"/>
          <w:rtl w:val="0"/>
          <w:lang w:val="ru-RU"/>
        </w:rPr>
        <w:t>за кожен критерій</w:t>
      </w:r>
      <w:r>
        <w:rPr>
          <w:sz w:val="22"/>
          <w:szCs w:val="22"/>
          <w:rtl w:val="0"/>
          <w:lang w:val="ru-RU"/>
        </w:rPr>
        <w:t>).</w:t>
      </w:r>
    </w:p>
    <w:p>
      <w:pPr>
        <w:pStyle w:val="Default"/>
        <w:spacing w:before="0" w:line="240" w:lineRule="auto"/>
        <w:jc w:val="both"/>
        <w:rPr>
          <w:sz w:val="22"/>
          <w:szCs w:val="22"/>
          <w:lang w:val="ru-RU"/>
        </w:rPr>
      </w:pPr>
      <w:r>
        <w:rPr>
          <w:sz w:val="22"/>
          <w:szCs w:val="22"/>
          <w:rtl w:val="0"/>
          <w:lang w:val="ru-RU"/>
        </w:rPr>
        <w:t>——</w:t>
      </w:r>
    </w:p>
    <w:p>
      <w:pPr>
        <w:pStyle w:val="Default"/>
        <w:spacing w:before="0" w:line="240" w:lineRule="auto"/>
        <w:jc w:val="both"/>
        <w:rPr>
          <w:sz w:val="22"/>
          <w:szCs w:val="22"/>
          <w:lang w:val="ru-RU"/>
        </w:rPr>
      </w:pPr>
      <w:r>
        <w:rPr>
          <w:sz w:val="22"/>
          <w:szCs w:val="22"/>
          <w:rtl w:val="0"/>
          <w:lang w:val="ru-RU"/>
        </w:rPr>
        <w:t xml:space="preserve">* </w:t>
      </w:r>
      <w:r>
        <w:rPr>
          <w:sz w:val="22"/>
          <w:szCs w:val="22"/>
          <w:u w:val="single"/>
          <w:rtl w:val="0"/>
          <w:lang w:val="ru-RU"/>
        </w:rPr>
        <w:t>Базові</w:t>
      </w:r>
      <w:r>
        <w:rPr>
          <w:sz w:val="22"/>
          <w:szCs w:val="22"/>
          <w:u w:val="single"/>
          <w:rtl w:val="0"/>
          <w:lang w:val="ru-RU"/>
        </w:rPr>
        <w:t xml:space="preserve"> критері</w:t>
      </w:r>
      <w:r>
        <w:rPr>
          <w:sz w:val="22"/>
          <w:szCs w:val="22"/>
          <w:u w:val="single"/>
          <w:rtl w:val="0"/>
          <w:lang w:val="ru-RU"/>
        </w:rPr>
        <w:t>ї</w:t>
      </w:r>
      <w:r>
        <w:rPr>
          <w:sz w:val="22"/>
          <w:szCs w:val="22"/>
          <w:u w:val="single"/>
          <w:rtl w:val="0"/>
          <w:lang w:val="ru-RU"/>
        </w:rPr>
        <w:t xml:space="preserve"> відповідності</w:t>
      </w:r>
      <w:r>
        <w:rPr>
          <w:sz w:val="22"/>
          <w:szCs w:val="22"/>
          <w:rtl w:val="0"/>
          <w:lang w:val="ru-RU"/>
        </w:rPr>
        <w:t>:</w:t>
      </w:r>
    </w:p>
    <w:p>
      <w:pPr>
        <w:pStyle w:val="Body A"/>
        <w:jc w:val="both"/>
      </w:pPr>
    </w:p>
    <w:p>
      <w:pPr>
        <w:pStyle w:val="Body A"/>
        <w:jc w:val="both"/>
      </w:pPr>
      <w:r>
        <w:rPr>
          <w:rtl w:val="0"/>
        </w:rPr>
        <w:t>— З</w:t>
      </w:r>
      <w:r>
        <w:rPr>
          <w:rtl w:val="0"/>
          <w:lang w:val="ru-RU"/>
        </w:rPr>
        <w:t>ареєстровані ОГС</w:t>
      </w:r>
      <w:r>
        <w:rPr>
          <w:rtl w:val="0"/>
          <w:lang w:val="ru-RU"/>
        </w:rPr>
        <w:t xml:space="preserve">, </w:t>
      </w:r>
      <w:r>
        <w:rPr>
          <w:rtl w:val="0"/>
        </w:rPr>
        <w:t>які знаходяться та працюють в одному</w:t>
      </w:r>
      <w:r>
        <w:rPr>
          <w:rtl w:val="0"/>
          <w:lang w:val="ru-RU"/>
        </w:rPr>
        <w:t xml:space="preserve"> </w:t>
      </w:r>
      <w:r>
        <w:rPr>
          <w:rtl w:val="0"/>
        </w:rPr>
        <w:t xml:space="preserve">з </w:t>
      </w:r>
      <w:r>
        <w:rPr>
          <w:rtl w:val="0"/>
          <w:lang w:val="ru-RU"/>
        </w:rPr>
        <w:t>населених пунктів</w:t>
      </w:r>
      <w:r>
        <w:rPr>
          <w:rtl w:val="0"/>
        </w:rPr>
        <w:t xml:space="preserve"> </w:t>
      </w:r>
      <w:r>
        <w:rPr>
          <w:rtl w:val="0"/>
          <w:lang w:val="ru-RU"/>
        </w:rPr>
        <w:t>Луганської та Донецької областей</w:t>
      </w:r>
      <w:r>
        <w:rPr>
          <w:rtl w:val="0"/>
        </w:rPr>
        <w:t xml:space="preserve"> (</w:t>
      </w:r>
      <w:r>
        <w:rPr>
          <w:rtl w:val="0"/>
        </w:rPr>
        <w:t>перелік нижче</w:t>
      </w:r>
      <w:r>
        <w:rPr>
          <w:rtl w:val="0"/>
        </w:rPr>
        <w:t>)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Організації мають не представляти жодних політичних партій</w:t>
      </w:r>
      <w:r>
        <w:rPr>
          <w:rtl w:val="0"/>
          <w:lang w:val="ru-RU"/>
        </w:rPr>
        <w:t>.</w:t>
      </w:r>
    </w:p>
    <w:p>
      <w:pPr>
        <w:pStyle w:val="Body A"/>
        <w:jc w:val="both"/>
      </w:pPr>
    </w:p>
    <w:p>
      <w:pPr>
        <w:pStyle w:val="Body A"/>
        <w:jc w:val="both"/>
      </w:pPr>
      <w:r>
        <w:rPr>
          <w:rtl w:val="0"/>
        </w:rPr>
        <w:t>—</w:t>
      </w:r>
      <w:r>
        <w:rPr>
          <w:rtl w:val="0"/>
          <w:lang w:val="ru-RU"/>
        </w:rPr>
        <w:t>ОГС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які ще не отримали фінансової підтримки від </w:t>
      </w:r>
      <w:r>
        <w:rPr>
          <w:rtl w:val="0"/>
          <w:lang w:val="ru-RU"/>
        </w:rPr>
        <w:t xml:space="preserve">PIN Ukraine </w:t>
      </w:r>
      <w:r>
        <w:rPr>
          <w:rtl w:val="0"/>
          <w:lang w:val="ru-RU"/>
        </w:rPr>
        <w:t>для реалізації Рекомендацій із запропонованих звітів та</w:t>
      </w:r>
      <w:r>
        <w:rPr>
          <w:rtl w:val="0"/>
          <w:lang w:val="ru-RU"/>
        </w:rPr>
        <w:t>/</w:t>
      </w:r>
      <w:r>
        <w:rPr>
          <w:rtl w:val="0"/>
          <w:lang w:val="ru-RU"/>
        </w:rPr>
        <w:t xml:space="preserve">або не є поточним грантоотримувачем </w:t>
      </w:r>
      <w:r>
        <w:rPr>
          <w:rtl w:val="0"/>
          <w:lang w:val="ru-RU"/>
        </w:rPr>
        <w:t xml:space="preserve">PIN Ukraine </w:t>
      </w:r>
      <w:r>
        <w:rPr>
          <w:rtl w:val="0"/>
        </w:rPr>
        <w:t>в рамках інших</w:t>
      </w:r>
      <w:r>
        <w:rPr>
          <w:rtl w:val="0"/>
          <w:lang w:val="ru-RU"/>
        </w:rPr>
        <w:t xml:space="preserve"> про</w:t>
      </w:r>
      <w:r>
        <w:rPr>
          <w:rtl w:val="0"/>
        </w:rPr>
        <w:t>є</w:t>
      </w:r>
      <w:r>
        <w:rPr>
          <w:rtl w:val="0"/>
          <w:lang w:val="ru-RU"/>
        </w:rPr>
        <w:t>ктів</w:t>
      </w:r>
      <w:r>
        <w:rPr>
          <w:rtl w:val="0"/>
          <w:lang w:val="ru-RU"/>
        </w:rPr>
        <w:t>.</w:t>
      </w:r>
    </w:p>
    <w:p>
      <w:pPr>
        <w:pStyle w:val="Body A"/>
        <w:jc w:val="both"/>
      </w:pPr>
    </w:p>
    <w:p>
      <w:pPr>
        <w:pStyle w:val="Body A"/>
        <w:jc w:val="both"/>
      </w:pPr>
      <w:r>
        <w:rPr>
          <w:rtl w:val="0"/>
          <w:lang w:val="ru-RU"/>
        </w:rPr>
        <w:t xml:space="preserve">** </w:t>
      </w:r>
      <w:r>
        <w:rPr>
          <w:u w:val="single"/>
          <w:rtl w:val="0"/>
          <w:lang w:val="ru-RU"/>
        </w:rPr>
        <w:t>Додаткові критерії</w:t>
      </w:r>
      <w:r>
        <w:rPr>
          <w:rtl w:val="0"/>
          <w:lang w:val="ru-RU"/>
        </w:rPr>
        <w:t>:</w:t>
      </w:r>
    </w:p>
    <w:p>
      <w:pPr>
        <w:pStyle w:val="Body A"/>
        <w:jc w:val="both"/>
      </w:pPr>
    </w:p>
    <w:p>
      <w:pPr>
        <w:pStyle w:val="Body A"/>
        <w:jc w:val="both"/>
      </w:pPr>
      <w:r>
        <w:rPr>
          <w:rtl w:val="0"/>
          <w:lang w:val="ru-RU"/>
        </w:rPr>
        <w:t>— членство у Вільнюській робочій групі буде перевагою</w:t>
      </w:r>
      <w:r>
        <w:rPr>
          <w:rtl w:val="0"/>
          <w:lang w:val="ru-RU"/>
        </w:rPr>
        <w:t>;</w:t>
      </w:r>
    </w:p>
    <w:p>
      <w:pPr>
        <w:pStyle w:val="Body A"/>
        <w:jc w:val="both"/>
      </w:pPr>
    </w:p>
    <w:p>
      <w:pPr>
        <w:pStyle w:val="Body A"/>
        <w:jc w:val="both"/>
      </w:pPr>
      <w:r>
        <w:rPr>
          <w:rtl w:val="0"/>
          <w:lang w:val="ru-RU"/>
        </w:rPr>
        <w:t>— активна участь у просуванні місцевої демократії та</w:t>
      </w:r>
      <w:r>
        <w:rPr>
          <w:rtl w:val="0"/>
          <w:lang w:val="ru-RU"/>
        </w:rPr>
        <w:t>/</w:t>
      </w:r>
      <w:r>
        <w:rPr>
          <w:rtl w:val="0"/>
          <w:lang w:val="ru-RU"/>
        </w:rPr>
        <w:t>або у проєктах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спрямованих на посилення діалогу між громадянським суспільством та місцевою владою у Луганській та Донецькій областях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буде плюсом</w:t>
      </w:r>
      <w:r>
        <w:rPr>
          <w:rtl w:val="0"/>
          <w:lang w:val="ru-RU"/>
        </w:rPr>
        <w:t>;</w:t>
      </w:r>
    </w:p>
    <w:p>
      <w:pPr>
        <w:pStyle w:val="Body A"/>
        <w:jc w:val="both"/>
      </w:pPr>
    </w:p>
    <w:p>
      <w:pPr>
        <w:pStyle w:val="Body A"/>
        <w:jc w:val="both"/>
      </w:pPr>
      <w:r>
        <w:rPr>
          <w:rtl w:val="0"/>
          <w:lang w:val="ru-RU"/>
        </w:rPr>
        <w:t>— реалізація ініціатив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орієнтованих на розвиток громади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у співпраці з місцевою владою буде перевагою</w:t>
      </w:r>
      <w:r>
        <w:rPr>
          <w:rtl w:val="0"/>
          <w:lang w:val="ru-RU"/>
        </w:rPr>
        <w:t>;</w:t>
      </w:r>
    </w:p>
    <w:p>
      <w:pPr>
        <w:pStyle w:val="Body A"/>
        <w:jc w:val="both"/>
      </w:pPr>
    </w:p>
    <w:p>
      <w:pPr>
        <w:pStyle w:val="Body A"/>
        <w:jc w:val="both"/>
      </w:pPr>
      <w:r>
        <w:rPr>
          <w:rtl w:val="0"/>
          <w:lang w:val="ru-RU"/>
        </w:rPr>
        <w:t>— членство в альянсі з іншими ОГС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волонтерськими мережами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органами місцевого самоврядування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школами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університетами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приватним сектором та іншими організаціями буде плюсом</w:t>
      </w:r>
      <w:r>
        <w:rPr>
          <w:rtl w:val="0"/>
          <w:lang w:val="ru-RU"/>
        </w:rPr>
        <w:t>.</w:t>
      </w:r>
    </w:p>
    <w:p>
      <w:pPr>
        <w:pStyle w:val="Default"/>
        <w:spacing w:before="0" w:line="240" w:lineRule="auto"/>
        <w:jc w:val="both"/>
        <w:rPr>
          <w:lang w:val="ru-RU"/>
        </w:rPr>
      </w:pPr>
    </w:p>
    <w:p>
      <w:pPr>
        <w:pStyle w:val="Default"/>
        <w:spacing w:before="0" w:line="240" w:lineRule="auto"/>
        <w:jc w:val="both"/>
        <w:rPr>
          <w:b w:val="1"/>
          <w:bCs w:val="1"/>
          <w:sz w:val="22"/>
          <w:szCs w:val="22"/>
          <w:lang w:val="ru-RU"/>
        </w:rPr>
      </w:pPr>
      <w:r>
        <w:rPr>
          <w:b w:val="1"/>
          <w:bCs w:val="1"/>
          <w:sz w:val="22"/>
          <w:szCs w:val="22"/>
          <w:rtl w:val="0"/>
          <w:lang w:val="ru-RU"/>
        </w:rPr>
        <w:t>Перелік населених пунктів</w:t>
      </w:r>
      <w:r>
        <w:rPr>
          <w:b w:val="1"/>
          <w:bCs w:val="1"/>
          <w:sz w:val="22"/>
          <w:szCs w:val="22"/>
          <w:rtl w:val="0"/>
          <w:lang w:val="ru-RU"/>
        </w:rPr>
        <w:t>:</w:t>
      </w:r>
    </w:p>
    <w:p>
      <w:pPr>
        <w:pStyle w:val="Default"/>
        <w:spacing w:before="0" w:line="240" w:lineRule="auto"/>
        <w:jc w:val="both"/>
        <w:rPr>
          <w:sz w:val="22"/>
          <w:szCs w:val="22"/>
          <w:lang w:val="ru-RU"/>
        </w:rPr>
      </w:pPr>
    </w:p>
    <w:p>
      <w:pPr>
        <w:pStyle w:val="Default"/>
        <w:spacing w:before="0" w:line="240" w:lineRule="auto"/>
        <w:jc w:val="both"/>
        <w:rPr>
          <w:sz w:val="22"/>
          <w:szCs w:val="22"/>
          <w:lang w:val="ru-RU"/>
        </w:rPr>
      </w:pPr>
      <w:r>
        <w:rPr>
          <w:sz w:val="22"/>
          <w:szCs w:val="22"/>
          <w:rtl w:val="0"/>
          <w:lang w:val="ru-RU"/>
        </w:rPr>
        <w:t xml:space="preserve">1) </w:t>
      </w:r>
      <w:r>
        <w:rPr>
          <w:sz w:val="22"/>
          <w:szCs w:val="22"/>
          <w:rtl w:val="0"/>
          <w:lang w:val="ru-RU"/>
        </w:rPr>
        <w:t>Донецька область</w:t>
      </w:r>
    </w:p>
    <w:p>
      <w:pPr>
        <w:pStyle w:val="Default"/>
        <w:spacing w:before="0" w:line="240" w:lineRule="auto"/>
        <w:jc w:val="both"/>
        <w:rPr>
          <w:sz w:val="22"/>
          <w:szCs w:val="22"/>
          <w:lang w:val="ru-RU"/>
        </w:rPr>
      </w:pPr>
    </w:p>
    <w:p>
      <w:pPr>
        <w:pStyle w:val="Default"/>
        <w:spacing w:before="0" w:line="240" w:lineRule="auto"/>
        <w:jc w:val="both"/>
        <w:rPr>
          <w:sz w:val="22"/>
          <w:szCs w:val="22"/>
          <w:lang w:val="ru-RU"/>
        </w:rPr>
      </w:pPr>
      <w:r>
        <w:rPr>
          <w:sz w:val="22"/>
          <w:szCs w:val="22"/>
          <w:rtl w:val="0"/>
          <w:lang w:val="ru-RU"/>
        </w:rPr>
        <w:t>Бахмутський район</w:t>
      </w:r>
      <w:r>
        <w:rPr>
          <w:sz w:val="22"/>
          <w:szCs w:val="22"/>
          <w:rtl w:val="0"/>
          <w:lang w:val="ru-RU"/>
        </w:rPr>
        <w:t>:</w:t>
      </w:r>
    </w:p>
    <w:p>
      <w:pPr>
        <w:pStyle w:val="Default"/>
        <w:spacing w:before="0" w:line="240" w:lineRule="auto"/>
        <w:jc w:val="both"/>
        <w:rPr>
          <w:sz w:val="22"/>
          <w:szCs w:val="22"/>
          <w:lang w:val="ru-RU"/>
        </w:rPr>
      </w:pPr>
      <w:r>
        <w:rPr>
          <w:sz w:val="22"/>
          <w:szCs w:val="22"/>
          <w:rtl w:val="0"/>
          <w:lang w:val="ru-RU"/>
        </w:rPr>
        <w:t xml:space="preserve">Світлодарська громада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Світлодарськ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Воздвиженка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Жованка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Майорськ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 xml:space="preserve">Піски </w:t>
      </w:r>
      <w:r>
        <w:rPr>
          <w:sz w:val="22"/>
          <w:szCs w:val="22"/>
          <w:rtl w:val="0"/>
          <w:lang w:val="ru-RU"/>
        </w:rPr>
        <w:t xml:space="preserve">2, </w:t>
      </w:r>
      <w:r>
        <w:rPr>
          <w:sz w:val="22"/>
          <w:szCs w:val="22"/>
          <w:rtl w:val="0"/>
          <w:lang w:val="ru-RU"/>
        </w:rPr>
        <w:t>Бахмутка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Луганське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Травневе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Гладосове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Новолуганське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Миронівський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Кодема</w:t>
      </w:r>
      <w:r>
        <w:rPr>
          <w:sz w:val="22"/>
          <w:szCs w:val="22"/>
          <w:rtl w:val="0"/>
          <w:lang w:val="ru-RU"/>
        </w:rPr>
        <w:t xml:space="preserve">); </w:t>
      </w:r>
      <w:r>
        <w:rPr>
          <w:sz w:val="22"/>
          <w:szCs w:val="22"/>
          <w:rtl w:val="0"/>
          <w:lang w:val="ru-RU"/>
        </w:rPr>
        <w:t xml:space="preserve">Бахмутська громада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Іванівське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Опитне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Зайцеве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Покровське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Клинове</w:t>
      </w:r>
      <w:r>
        <w:rPr>
          <w:sz w:val="22"/>
          <w:szCs w:val="22"/>
          <w:rtl w:val="0"/>
          <w:lang w:val="ru-RU"/>
        </w:rPr>
        <w:t xml:space="preserve">), </w:t>
      </w:r>
    </w:p>
    <w:p>
      <w:pPr>
        <w:pStyle w:val="Default"/>
        <w:spacing w:before="0" w:line="240" w:lineRule="auto"/>
        <w:jc w:val="both"/>
        <w:rPr>
          <w:sz w:val="22"/>
          <w:szCs w:val="22"/>
          <w:lang w:val="ru-RU"/>
        </w:rPr>
      </w:pPr>
      <w:r>
        <w:rPr>
          <w:sz w:val="22"/>
          <w:szCs w:val="22"/>
          <w:rtl w:val="0"/>
          <w:lang w:val="ru-RU"/>
        </w:rPr>
        <w:t xml:space="preserve">Торецька громада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Торецьк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Щербинівка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Нью</w:t>
      </w:r>
      <w:r>
        <w:rPr>
          <w:sz w:val="22"/>
          <w:szCs w:val="22"/>
          <w:rtl w:val="0"/>
          <w:lang w:val="ru-RU"/>
        </w:rPr>
        <w:t>-</w:t>
      </w:r>
      <w:r>
        <w:rPr>
          <w:sz w:val="22"/>
          <w:szCs w:val="22"/>
          <w:rtl w:val="0"/>
          <w:lang w:val="ru-RU"/>
        </w:rPr>
        <w:t>Йорк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Залізне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Північне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Неліпівка</w:t>
      </w:r>
      <w:r>
        <w:rPr>
          <w:sz w:val="22"/>
          <w:szCs w:val="22"/>
          <w:rtl w:val="0"/>
          <w:lang w:val="ru-RU"/>
        </w:rPr>
        <w:t xml:space="preserve">), </w:t>
      </w:r>
    </w:p>
    <w:p>
      <w:pPr>
        <w:pStyle w:val="Default"/>
        <w:spacing w:before="0" w:line="240" w:lineRule="auto"/>
        <w:jc w:val="both"/>
        <w:rPr>
          <w:sz w:val="22"/>
          <w:szCs w:val="22"/>
          <w:lang w:val="ru-RU"/>
        </w:rPr>
      </w:pPr>
    </w:p>
    <w:p>
      <w:pPr>
        <w:pStyle w:val="Default"/>
        <w:spacing w:before="0" w:line="240" w:lineRule="auto"/>
        <w:jc w:val="both"/>
        <w:rPr>
          <w:sz w:val="22"/>
          <w:szCs w:val="22"/>
          <w:lang w:val="ru-RU"/>
        </w:rPr>
      </w:pPr>
      <w:r>
        <w:rPr>
          <w:sz w:val="22"/>
          <w:szCs w:val="22"/>
          <w:rtl w:val="0"/>
          <w:lang w:val="ru-RU"/>
        </w:rPr>
        <w:t>Покровський район</w:t>
      </w:r>
      <w:r>
        <w:rPr>
          <w:sz w:val="22"/>
          <w:szCs w:val="22"/>
          <w:rtl w:val="0"/>
          <w:lang w:val="ru-RU"/>
        </w:rPr>
        <w:t>:</w:t>
      </w:r>
    </w:p>
    <w:p>
      <w:pPr>
        <w:pStyle w:val="Default"/>
        <w:spacing w:before="0" w:line="240" w:lineRule="auto"/>
        <w:jc w:val="both"/>
        <w:rPr>
          <w:sz w:val="22"/>
          <w:szCs w:val="22"/>
          <w:lang w:val="ru-RU"/>
        </w:rPr>
      </w:pPr>
      <w:r>
        <w:rPr>
          <w:sz w:val="22"/>
          <w:szCs w:val="22"/>
          <w:rtl w:val="0"/>
          <w:lang w:val="ru-RU"/>
        </w:rPr>
        <w:t xml:space="preserve">Мар’їнська громада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Мар</w:t>
      </w:r>
      <w:r>
        <w:rPr>
          <w:sz w:val="22"/>
          <w:szCs w:val="22"/>
          <w:rtl w:val="0"/>
          <w:lang w:val="ru-RU"/>
        </w:rPr>
        <w:t>'</w:t>
      </w:r>
      <w:r>
        <w:rPr>
          <w:sz w:val="22"/>
          <w:szCs w:val="22"/>
          <w:rtl w:val="0"/>
          <w:lang w:val="ru-RU"/>
        </w:rPr>
        <w:t>їнка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Георгіївка</w:t>
      </w:r>
      <w:r>
        <w:rPr>
          <w:sz w:val="22"/>
          <w:szCs w:val="22"/>
          <w:rtl w:val="0"/>
          <w:lang w:val="ru-RU"/>
        </w:rPr>
        <w:t xml:space="preserve">); </w:t>
      </w:r>
      <w:r>
        <w:rPr>
          <w:sz w:val="22"/>
          <w:szCs w:val="22"/>
          <w:rtl w:val="0"/>
          <w:lang w:val="ru-RU"/>
        </w:rPr>
        <w:t xml:space="preserve">Авдіївська громада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Авдіївка</w:t>
      </w:r>
      <w:r>
        <w:rPr>
          <w:sz w:val="22"/>
          <w:szCs w:val="22"/>
          <w:rtl w:val="0"/>
          <w:lang w:val="ru-RU"/>
        </w:rPr>
        <w:t>)</w:t>
      </w:r>
    </w:p>
    <w:p>
      <w:pPr>
        <w:pStyle w:val="Default"/>
        <w:spacing w:before="0" w:line="240" w:lineRule="auto"/>
        <w:jc w:val="both"/>
        <w:rPr>
          <w:sz w:val="22"/>
          <w:szCs w:val="22"/>
          <w:lang w:val="ru-RU"/>
        </w:rPr>
      </w:pPr>
    </w:p>
    <w:p>
      <w:pPr>
        <w:pStyle w:val="Default"/>
        <w:spacing w:before="0" w:line="240" w:lineRule="auto"/>
        <w:jc w:val="both"/>
        <w:rPr>
          <w:sz w:val="22"/>
          <w:szCs w:val="22"/>
          <w:lang w:val="ru-RU"/>
        </w:rPr>
      </w:pPr>
      <w:r>
        <w:rPr>
          <w:sz w:val="22"/>
          <w:szCs w:val="22"/>
          <w:rtl w:val="0"/>
          <w:lang w:val="ru-RU"/>
        </w:rPr>
        <w:t>Волноваський район</w:t>
      </w:r>
      <w:r>
        <w:rPr>
          <w:sz w:val="22"/>
          <w:szCs w:val="22"/>
          <w:rtl w:val="0"/>
          <w:lang w:val="ru-RU"/>
        </w:rPr>
        <w:t>:</w:t>
      </w:r>
    </w:p>
    <w:p>
      <w:pPr>
        <w:pStyle w:val="Default"/>
        <w:spacing w:before="0" w:line="240" w:lineRule="auto"/>
        <w:jc w:val="both"/>
        <w:rPr>
          <w:sz w:val="22"/>
          <w:szCs w:val="22"/>
          <w:lang w:val="ru-RU"/>
        </w:rPr>
      </w:pPr>
      <w:r>
        <w:rPr>
          <w:sz w:val="22"/>
          <w:szCs w:val="22"/>
          <w:rtl w:val="0"/>
          <w:lang w:val="ru-RU"/>
        </w:rPr>
        <w:t xml:space="preserve">Вугледарська громада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Вугледар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Степне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Березове</w:t>
      </w:r>
      <w:r>
        <w:rPr>
          <w:sz w:val="22"/>
          <w:szCs w:val="22"/>
          <w:rtl w:val="0"/>
          <w:lang w:val="ru-RU"/>
        </w:rPr>
        <w:t>)</w:t>
      </w:r>
    </w:p>
    <w:p>
      <w:pPr>
        <w:pStyle w:val="Default"/>
        <w:spacing w:before="0" w:line="240" w:lineRule="auto"/>
        <w:jc w:val="both"/>
        <w:rPr>
          <w:sz w:val="22"/>
          <w:szCs w:val="22"/>
          <w:lang w:val="ru-RU"/>
        </w:rPr>
      </w:pPr>
      <w:r>
        <w:rPr>
          <w:sz w:val="22"/>
          <w:szCs w:val="22"/>
          <w:rtl w:val="0"/>
          <w:lang w:val="ru-RU"/>
        </w:rPr>
        <w:t xml:space="preserve">Очеретинська громада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Верхньоторецьке</w:t>
      </w:r>
      <w:r>
        <w:rPr>
          <w:sz w:val="22"/>
          <w:szCs w:val="22"/>
          <w:rtl w:val="0"/>
          <w:lang w:val="ru-RU"/>
        </w:rPr>
        <w:t>)</w:t>
      </w:r>
    </w:p>
    <w:p>
      <w:pPr>
        <w:pStyle w:val="Default"/>
        <w:spacing w:before="0" w:line="240" w:lineRule="auto"/>
        <w:jc w:val="both"/>
        <w:rPr>
          <w:sz w:val="22"/>
          <w:szCs w:val="22"/>
          <w:lang w:val="ru-RU"/>
        </w:rPr>
      </w:pPr>
    </w:p>
    <w:p>
      <w:pPr>
        <w:pStyle w:val="Default"/>
        <w:spacing w:before="0" w:line="240" w:lineRule="auto"/>
        <w:jc w:val="both"/>
        <w:rPr>
          <w:sz w:val="22"/>
          <w:szCs w:val="22"/>
          <w:lang w:val="ru-RU"/>
        </w:rPr>
      </w:pPr>
    </w:p>
    <w:p>
      <w:pPr>
        <w:pStyle w:val="Default"/>
        <w:spacing w:before="0" w:line="240" w:lineRule="auto"/>
        <w:jc w:val="both"/>
        <w:rPr>
          <w:sz w:val="22"/>
          <w:szCs w:val="22"/>
          <w:lang w:val="ru-RU"/>
        </w:rPr>
      </w:pPr>
      <w:r>
        <w:rPr>
          <w:sz w:val="22"/>
          <w:szCs w:val="22"/>
          <w:rtl w:val="0"/>
          <w:lang w:val="ru-RU"/>
        </w:rPr>
        <w:t xml:space="preserve">2) </w:t>
      </w:r>
      <w:r>
        <w:rPr>
          <w:sz w:val="22"/>
          <w:szCs w:val="22"/>
          <w:rtl w:val="0"/>
          <w:lang w:val="ru-RU"/>
        </w:rPr>
        <w:t>Луганська область</w:t>
      </w:r>
    </w:p>
    <w:p>
      <w:pPr>
        <w:pStyle w:val="Default"/>
        <w:spacing w:before="0" w:line="240" w:lineRule="auto"/>
        <w:jc w:val="both"/>
        <w:rPr>
          <w:sz w:val="22"/>
          <w:szCs w:val="22"/>
          <w:lang w:val="ru-RU"/>
        </w:rPr>
      </w:pPr>
    </w:p>
    <w:p>
      <w:pPr>
        <w:pStyle w:val="Default"/>
        <w:spacing w:before="0" w:line="240" w:lineRule="auto"/>
        <w:jc w:val="both"/>
        <w:rPr>
          <w:sz w:val="22"/>
          <w:szCs w:val="22"/>
          <w:lang w:val="ru-RU"/>
        </w:rPr>
      </w:pPr>
      <w:r>
        <w:rPr>
          <w:sz w:val="22"/>
          <w:szCs w:val="22"/>
          <w:rtl w:val="0"/>
          <w:lang w:val="ru-RU"/>
        </w:rPr>
        <w:t>Сєвєродонецький район</w:t>
      </w:r>
      <w:r>
        <w:rPr>
          <w:sz w:val="22"/>
          <w:szCs w:val="22"/>
          <w:rtl w:val="0"/>
          <w:lang w:val="ru-RU"/>
        </w:rPr>
        <w:t>:</w:t>
      </w:r>
    </w:p>
    <w:p>
      <w:pPr>
        <w:pStyle w:val="Default"/>
        <w:spacing w:before="0" w:line="240" w:lineRule="auto"/>
        <w:jc w:val="both"/>
        <w:rPr>
          <w:sz w:val="22"/>
          <w:szCs w:val="22"/>
          <w:lang w:val="ru-RU"/>
        </w:rPr>
      </w:pPr>
      <w:r>
        <w:rPr>
          <w:sz w:val="22"/>
          <w:szCs w:val="22"/>
          <w:rtl w:val="0"/>
          <w:lang w:val="ru-RU"/>
        </w:rPr>
        <w:t xml:space="preserve">Попаснянська громада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Попасна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Троїцьке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Новозванівка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Комишуваха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Новоіванівка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Врубівка</w:t>
      </w:r>
      <w:r>
        <w:rPr>
          <w:sz w:val="22"/>
          <w:szCs w:val="22"/>
          <w:rtl w:val="0"/>
          <w:lang w:val="ru-RU"/>
        </w:rPr>
        <w:t xml:space="preserve">), </w:t>
      </w:r>
    </w:p>
    <w:p>
      <w:pPr>
        <w:pStyle w:val="Default"/>
        <w:spacing w:before="0" w:line="240" w:lineRule="auto"/>
        <w:jc w:val="both"/>
        <w:rPr>
          <w:sz w:val="22"/>
          <w:szCs w:val="22"/>
          <w:lang w:val="ru-RU"/>
        </w:rPr>
      </w:pPr>
      <w:r>
        <w:rPr>
          <w:sz w:val="22"/>
          <w:szCs w:val="22"/>
          <w:rtl w:val="0"/>
          <w:lang w:val="ru-RU"/>
        </w:rPr>
        <w:t xml:space="preserve">Гірська громада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Гірське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Новотошківське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Нижнє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Катеринівка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 xml:space="preserve">Золоте </w:t>
      </w:r>
      <w:r>
        <w:rPr>
          <w:sz w:val="22"/>
          <w:szCs w:val="22"/>
          <w:rtl w:val="0"/>
          <w:lang w:val="ru-RU"/>
        </w:rPr>
        <w:t xml:space="preserve">4, </w:t>
      </w:r>
      <w:r>
        <w:rPr>
          <w:sz w:val="22"/>
          <w:szCs w:val="22"/>
          <w:rtl w:val="0"/>
          <w:lang w:val="ru-RU"/>
        </w:rPr>
        <w:t xml:space="preserve">Золоте </w:t>
      </w:r>
      <w:r>
        <w:rPr>
          <w:sz w:val="22"/>
          <w:szCs w:val="22"/>
          <w:rtl w:val="0"/>
          <w:lang w:val="ru-RU"/>
        </w:rPr>
        <w:t xml:space="preserve">2, </w:t>
      </w:r>
      <w:r>
        <w:rPr>
          <w:sz w:val="22"/>
          <w:szCs w:val="22"/>
          <w:rtl w:val="0"/>
          <w:lang w:val="ru-RU"/>
        </w:rPr>
        <w:t>Золоте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Тошківка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Оріхове</w:t>
      </w:r>
      <w:r>
        <w:rPr>
          <w:sz w:val="22"/>
          <w:szCs w:val="22"/>
          <w:rtl w:val="0"/>
          <w:lang w:val="ru-RU"/>
        </w:rPr>
        <w:t xml:space="preserve">), </w:t>
      </w:r>
    </w:p>
    <w:p>
      <w:pPr>
        <w:pStyle w:val="Default"/>
        <w:spacing w:before="0" w:line="240" w:lineRule="auto"/>
        <w:jc w:val="both"/>
        <w:rPr>
          <w:sz w:val="22"/>
          <w:szCs w:val="22"/>
          <w:lang w:val="ru-RU"/>
        </w:rPr>
      </w:pPr>
      <w:r>
        <w:rPr>
          <w:sz w:val="22"/>
          <w:szCs w:val="22"/>
          <w:rtl w:val="0"/>
          <w:lang w:val="ru-RU"/>
        </w:rPr>
        <w:t xml:space="preserve">Лисичанська громада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Лоскутівка</w:t>
      </w:r>
      <w:r>
        <w:rPr>
          <w:sz w:val="22"/>
          <w:szCs w:val="22"/>
          <w:rtl w:val="0"/>
          <w:lang w:val="ru-RU"/>
        </w:rPr>
        <w:t>)</w:t>
      </w:r>
    </w:p>
    <w:p>
      <w:pPr>
        <w:pStyle w:val="Default"/>
        <w:spacing w:before="0" w:line="240" w:lineRule="auto"/>
        <w:jc w:val="both"/>
      </w:pPr>
      <w:r>
        <w:rPr>
          <w:sz w:val="22"/>
          <w:szCs w:val="22"/>
          <w:rtl w:val="0"/>
          <w:lang w:val="ru-RU"/>
        </w:rPr>
        <w:t xml:space="preserve">Сєвєродонецька громада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Сєвєродонецьк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Боброве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Борівське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Сиротине</w:t>
      </w:r>
      <w:r>
        <w:rPr>
          <w:sz w:val="22"/>
          <w:szCs w:val="22"/>
          <w:rtl w:val="0"/>
          <w:lang w:val="ru-RU"/>
        </w:rPr>
        <w:t>)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 A"/>
      <w:tabs>
        <w:tab w:val="center" w:pos="4819"/>
        <w:tab w:val="right" w:pos="9612"/>
        <w:tab w:val="clear" w:pos="9020"/>
      </w:tabs>
    </w:pPr>
    <w:r>
      <w:rPr>
        <w:i w:val="1"/>
        <w:iCs w:val="1"/>
        <w:sz w:val="16"/>
        <w:szCs w:val="16"/>
        <w:lang w:val="ru-RU"/>
      </w:rPr>
      <w:tab/>
    </w:r>
    <w:r>
      <w:rPr>
        <w:i w:val="1"/>
        <w:iCs w:val="1"/>
        <w:sz w:val="16"/>
        <w:szCs w:val="16"/>
        <w:rtl w:val="0"/>
        <w:lang w:val="en-US"/>
      </w:rPr>
      <w:t xml:space="preserve">Page </w:t>
    </w:r>
    <w:r>
      <w:rPr>
        <w:i w:val="1"/>
        <w:iCs w:val="1"/>
        <w:sz w:val="16"/>
        <w:szCs w:val="16"/>
        <w:rtl w:val="0"/>
        <w:lang w:val="ru-RU"/>
      </w:rPr>
      <w:fldChar w:fldCharType="begin" w:fldLock="0"/>
    </w:r>
    <w:r>
      <w:rPr>
        <w:i w:val="1"/>
        <w:iCs w:val="1"/>
        <w:sz w:val="16"/>
        <w:szCs w:val="16"/>
        <w:rtl w:val="0"/>
        <w:lang w:val="ru-RU"/>
      </w:rPr>
      <w:instrText xml:space="preserve"> PAGE </w:instrText>
    </w:r>
    <w:r>
      <w:rPr>
        <w:i w:val="1"/>
        <w:iCs w:val="1"/>
        <w:sz w:val="16"/>
        <w:szCs w:val="16"/>
        <w:rtl w:val="0"/>
        <w:lang w:val="ru-RU"/>
      </w:rPr>
      <w:fldChar w:fldCharType="separate" w:fldLock="0"/>
    </w:r>
    <w:r>
      <w:rPr>
        <w:i w:val="1"/>
        <w:iCs w:val="1"/>
        <w:sz w:val="16"/>
        <w:szCs w:val="16"/>
        <w:rtl w:val="0"/>
        <w:lang w:val="ru-RU"/>
      </w:rPr>
    </w:r>
    <w:r>
      <w:rPr>
        <w:i w:val="1"/>
        <w:iCs w:val="1"/>
        <w:sz w:val="16"/>
        <w:szCs w:val="16"/>
        <w:rtl w:val="0"/>
        <w:lang w:val="ru-RU"/>
      </w:rPr>
      <w:fldChar w:fldCharType="end" w:fldLock="0"/>
    </w:r>
    <w:r>
      <w:rPr>
        <w:i w:val="1"/>
        <w:iCs w:val="1"/>
        <w:sz w:val="16"/>
        <w:szCs w:val="16"/>
        <w:rtl w:val="0"/>
        <w:lang w:val="en-US"/>
      </w:rPr>
      <w:t xml:space="preserve"> of </w:t>
    </w:r>
    <w:r>
      <w:rPr>
        <w:i w:val="1"/>
        <w:iCs w:val="1"/>
        <w:sz w:val="16"/>
        <w:szCs w:val="16"/>
        <w:rtl w:val="0"/>
        <w:lang w:val="ru-RU"/>
      </w:rPr>
      <w:fldChar w:fldCharType="begin" w:fldLock="0"/>
    </w:r>
    <w:r>
      <w:rPr>
        <w:i w:val="1"/>
        <w:iCs w:val="1"/>
        <w:sz w:val="16"/>
        <w:szCs w:val="16"/>
        <w:rtl w:val="0"/>
        <w:lang w:val="ru-RU"/>
      </w:rPr>
      <w:instrText xml:space="preserve"> NUMPAGES </w:instrText>
    </w:r>
    <w:r>
      <w:rPr>
        <w:i w:val="1"/>
        <w:iCs w:val="1"/>
        <w:sz w:val="16"/>
        <w:szCs w:val="16"/>
        <w:rtl w:val="0"/>
        <w:lang w:val="ru-RU"/>
      </w:rPr>
      <w:fldChar w:fldCharType="separate" w:fldLock="0"/>
    </w:r>
    <w:r>
      <w:rPr>
        <w:i w:val="1"/>
        <w:iCs w:val="1"/>
        <w:sz w:val="16"/>
        <w:szCs w:val="16"/>
        <w:rtl w:val="0"/>
        <w:lang w:val="ru-RU"/>
      </w:rPr>
    </w:r>
    <w:r>
      <w:rPr>
        <w:i w:val="1"/>
        <w:iCs w:val="1"/>
        <w:sz w:val="16"/>
        <w:szCs w:val="16"/>
        <w:rtl w:val="0"/>
        <w:lang w:val="ru-RU"/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er &amp; Footer A">
    <w:name w:val="Header &amp; Footer A"/>
    <w:next w:val="Header &amp; Footer 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