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4F99" w:rsidRPr="00604F99" w:rsidRDefault="00604F99" w:rsidP="00604F99">
      <w:pPr>
        <w:jc w:val="right"/>
        <w:rPr>
          <w:b/>
          <w:bCs/>
        </w:rPr>
      </w:pPr>
      <w:r w:rsidRPr="00604F99">
        <w:rPr>
          <w:b/>
          <w:bCs/>
          <w:lang w:val="uk-UA"/>
        </w:rPr>
        <w:t>ДОДАТОК</w:t>
      </w:r>
      <w:r w:rsidRPr="00604F99">
        <w:rPr>
          <w:b/>
          <w:bCs/>
          <w:lang w:val="ru-RU"/>
        </w:rPr>
        <w:t xml:space="preserve"> </w:t>
      </w:r>
      <w:r w:rsidRPr="00604F99">
        <w:rPr>
          <w:b/>
          <w:bCs/>
        </w:rPr>
        <w:t>F</w:t>
      </w:r>
    </w:p>
    <w:p w:rsidR="00604F99" w:rsidRPr="000E0780" w:rsidRDefault="00604F99" w:rsidP="00604F99">
      <w:pPr>
        <w:pStyle w:val="1"/>
        <w:rPr>
          <w:rFonts w:eastAsia="Cambria" w:cs="Times New Roman"/>
          <w:caps/>
          <w:color w:val="auto"/>
          <w:szCs w:val="24"/>
        </w:rPr>
      </w:pPr>
      <w:bookmarkStart w:id="0" w:name="_Toc39841821"/>
      <w:r w:rsidRPr="000E0780">
        <w:rPr>
          <w:rFonts w:eastAsia="Cambria" w:cs="Times New Roman"/>
          <w:caps/>
          <w:color w:val="auto"/>
          <w:szCs w:val="24"/>
          <w:lang w:val="uk-UA"/>
        </w:rPr>
        <w:t>ВИЗНАЧЕННЯ ММСП</w:t>
      </w:r>
      <w:bookmarkEnd w:id="0"/>
    </w:p>
    <w:p w:rsidR="00604F99" w:rsidRPr="00604F99" w:rsidRDefault="00604F99" w:rsidP="00604F99">
      <w:pPr>
        <w:spacing w:before="20" w:after="20"/>
        <w:ind w:left="288" w:hanging="288"/>
        <w:jc w:val="both"/>
        <w:rPr>
          <w:rFonts w:ascii="Times New Roman" w:hAnsi="Times New Roman" w:cs="Times New Roman"/>
        </w:rPr>
      </w:pPr>
    </w:p>
    <w:tbl>
      <w:tblPr>
        <w:tblStyle w:val="a3"/>
        <w:tblW w:w="9063" w:type="dxa"/>
        <w:tblInd w:w="288" w:type="dxa"/>
        <w:tblLayout w:type="fixed"/>
        <w:tblLook w:val="04A0" w:firstRow="1" w:lastRow="0" w:firstColumn="1" w:lastColumn="0" w:noHBand="0" w:noVBand="1"/>
      </w:tblPr>
      <w:tblGrid>
        <w:gridCol w:w="1844"/>
        <w:gridCol w:w="1980"/>
        <w:gridCol w:w="1890"/>
        <w:gridCol w:w="3349"/>
      </w:tblGrid>
      <w:tr w:rsidR="00604F99" w:rsidRPr="000E0780" w:rsidTr="000E0780">
        <w:tc>
          <w:tcPr>
            <w:tcW w:w="1844" w:type="dxa"/>
            <w:shd w:val="clear" w:color="auto" w:fill="auto"/>
          </w:tcPr>
          <w:p w:rsidR="00604F99" w:rsidRPr="000E0780" w:rsidRDefault="00604F99" w:rsidP="00D22072">
            <w:pPr>
              <w:spacing w:before="20" w:after="20"/>
              <w:jc w:val="center"/>
              <w:rPr>
                <w:rFonts w:ascii="Times New Roman" w:hAnsi="Times New Roman" w:cs="Times New Roman"/>
                <w:b/>
                <w:bCs/>
                <w:sz w:val="24"/>
                <w:szCs w:val="24"/>
              </w:rPr>
            </w:pPr>
            <w:r w:rsidRPr="000E0780">
              <w:rPr>
                <w:rFonts w:ascii="Times New Roman" w:hAnsi="Times New Roman" w:cs="Times New Roman"/>
                <w:b/>
                <w:bCs/>
                <w:sz w:val="24"/>
                <w:szCs w:val="24"/>
                <w:lang w:val="uk-UA"/>
              </w:rPr>
              <w:t>Категорія підприємства</w:t>
            </w:r>
          </w:p>
        </w:tc>
        <w:tc>
          <w:tcPr>
            <w:tcW w:w="1980" w:type="dxa"/>
            <w:shd w:val="clear" w:color="auto" w:fill="auto"/>
          </w:tcPr>
          <w:p w:rsidR="00604F99" w:rsidRPr="000E0780" w:rsidRDefault="00604F99" w:rsidP="00D22072">
            <w:pPr>
              <w:spacing w:before="20" w:after="20"/>
              <w:jc w:val="center"/>
              <w:rPr>
                <w:rFonts w:ascii="Times New Roman" w:hAnsi="Times New Roman" w:cs="Times New Roman"/>
                <w:b/>
                <w:bCs/>
                <w:sz w:val="24"/>
                <w:szCs w:val="24"/>
              </w:rPr>
            </w:pPr>
            <w:r w:rsidRPr="000E0780">
              <w:rPr>
                <w:rFonts w:ascii="Times New Roman" w:hAnsi="Times New Roman" w:cs="Times New Roman"/>
                <w:b/>
                <w:bCs/>
                <w:sz w:val="24"/>
                <w:szCs w:val="24"/>
                <w:lang w:val="uk-UA"/>
              </w:rPr>
              <w:t>Кількість працівників</w:t>
            </w:r>
          </w:p>
        </w:tc>
        <w:tc>
          <w:tcPr>
            <w:tcW w:w="1890" w:type="dxa"/>
            <w:shd w:val="clear" w:color="auto" w:fill="auto"/>
          </w:tcPr>
          <w:p w:rsidR="00604F99" w:rsidRPr="000E0780" w:rsidRDefault="00604F99" w:rsidP="00D22072">
            <w:pPr>
              <w:spacing w:before="20" w:after="20"/>
              <w:jc w:val="center"/>
              <w:rPr>
                <w:rFonts w:ascii="Times New Roman" w:hAnsi="Times New Roman" w:cs="Times New Roman"/>
                <w:b/>
                <w:bCs/>
                <w:sz w:val="24"/>
                <w:szCs w:val="24"/>
              </w:rPr>
            </w:pPr>
            <w:r w:rsidRPr="000E0780">
              <w:rPr>
                <w:rFonts w:ascii="Times New Roman" w:hAnsi="Times New Roman" w:cs="Times New Roman"/>
                <w:b/>
                <w:bCs/>
                <w:sz w:val="24"/>
                <w:szCs w:val="24"/>
                <w:lang w:val="uk-UA"/>
              </w:rPr>
              <w:t>Річний оборот, у гривнях</w:t>
            </w:r>
          </w:p>
        </w:tc>
        <w:tc>
          <w:tcPr>
            <w:tcW w:w="3349" w:type="dxa"/>
            <w:shd w:val="clear" w:color="auto" w:fill="auto"/>
          </w:tcPr>
          <w:p w:rsidR="00604F99" w:rsidRPr="000E0780" w:rsidRDefault="00604F99" w:rsidP="00D22072">
            <w:pPr>
              <w:spacing w:before="20" w:after="20"/>
              <w:jc w:val="center"/>
              <w:rPr>
                <w:rFonts w:ascii="Times New Roman" w:hAnsi="Times New Roman" w:cs="Times New Roman"/>
                <w:b/>
                <w:bCs/>
                <w:sz w:val="24"/>
                <w:szCs w:val="24"/>
                <w:lang w:val="ru-RU"/>
              </w:rPr>
            </w:pPr>
            <w:r w:rsidRPr="000E0780">
              <w:rPr>
                <w:rFonts w:ascii="Times New Roman" w:hAnsi="Times New Roman" w:cs="Times New Roman"/>
                <w:b/>
                <w:bCs/>
                <w:sz w:val="24"/>
                <w:szCs w:val="24"/>
                <w:lang w:val="uk-UA"/>
              </w:rPr>
              <w:t>Активи за балансовим звітом, у гривнях (щорічно)</w:t>
            </w:r>
          </w:p>
        </w:tc>
      </w:tr>
      <w:tr w:rsidR="00604F99" w:rsidRPr="000E0780" w:rsidTr="000E0780">
        <w:tc>
          <w:tcPr>
            <w:tcW w:w="1844" w:type="dxa"/>
            <w:shd w:val="clear" w:color="auto" w:fill="auto"/>
          </w:tcPr>
          <w:p w:rsidR="00604F99" w:rsidRPr="000E0780" w:rsidRDefault="00604F99" w:rsidP="00D22072">
            <w:pPr>
              <w:spacing w:before="20" w:after="20"/>
              <w:jc w:val="both"/>
              <w:rPr>
                <w:rFonts w:ascii="Times New Roman" w:hAnsi="Times New Roman" w:cs="Times New Roman"/>
                <w:sz w:val="24"/>
                <w:szCs w:val="24"/>
              </w:rPr>
            </w:pPr>
            <w:r w:rsidRPr="000E0780">
              <w:rPr>
                <w:rFonts w:ascii="Times New Roman" w:hAnsi="Times New Roman" w:cs="Times New Roman"/>
                <w:sz w:val="24"/>
                <w:szCs w:val="24"/>
                <w:lang w:val="uk-UA"/>
              </w:rPr>
              <w:t>Мікро</w:t>
            </w:r>
          </w:p>
        </w:tc>
        <w:tc>
          <w:tcPr>
            <w:tcW w:w="1980"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&lt;10</w:t>
            </w:r>
          </w:p>
        </w:tc>
        <w:tc>
          <w:tcPr>
            <w:tcW w:w="1890"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&lt;1 мільйона</w:t>
            </w:r>
          </w:p>
        </w:tc>
        <w:tc>
          <w:tcPr>
            <w:tcW w:w="3349"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&lt;500 000</w:t>
            </w:r>
          </w:p>
        </w:tc>
      </w:tr>
      <w:tr w:rsidR="00604F99" w:rsidRPr="000E0780" w:rsidTr="000E0780">
        <w:tc>
          <w:tcPr>
            <w:tcW w:w="1844" w:type="dxa"/>
            <w:shd w:val="clear" w:color="auto" w:fill="auto"/>
          </w:tcPr>
          <w:p w:rsidR="00604F99" w:rsidRPr="000E0780" w:rsidRDefault="00604F99" w:rsidP="00D22072">
            <w:pPr>
              <w:spacing w:before="20" w:after="20"/>
              <w:jc w:val="both"/>
              <w:rPr>
                <w:rFonts w:ascii="Times New Roman" w:hAnsi="Times New Roman" w:cs="Times New Roman"/>
                <w:sz w:val="24"/>
                <w:szCs w:val="24"/>
              </w:rPr>
            </w:pPr>
            <w:r w:rsidRPr="000E0780">
              <w:rPr>
                <w:rFonts w:ascii="Times New Roman" w:hAnsi="Times New Roman" w:cs="Times New Roman"/>
                <w:sz w:val="24"/>
                <w:szCs w:val="24"/>
                <w:lang w:val="uk-UA"/>
              </w:rPr>
              <w:t>Мале</w:t>
            </w:r>
          </w:p>
        </w:tc>
        <w:tc>
          <w:tcPr>
            <w:tcW w:w="1980"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&lt;50</w:t>
            </w:r>
          </w:p>
        </w:tc>
        <w:tc>
          <w:tcPr>
            <w:tcW w:w="1890"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&lt;15 мільйонів</w:t>
            </w:r>
          </w:p>
        </w:tc>
        <w:tc>
          <w:tcPr>
            <w:tcW w:w="3349"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&lt;5 мільйонів</w:t>
            </w:r>
          </w:p>
        </w:tc>
      </w:tr>
      <w:tr w:rsidR="00604F99" w:rsidRPr="000E0780" w:rsidTr="000E0780">
        <w:tc>
          <w:tcPr>
            <w:tcW w:w="1844" w:type="dxa"/>
            <w:shd w:val="clear" w:color="auto" w:fill="auto"/>
          </w:tcPr>
          <w:p w:rsidR="00604F99" w:rsidRPr="000E0780" w:rsidRDefault="00604F99" w:rsidP="00D22072">
            <w:pPr>
              <w:spacing w:before="20" w:after="20"/>
              <w:jc w:val="both"/>
              <w:rPr>
                <w:rFonts w:ascii="Times New Roman" w:hAnsi="Times New Roman" w:cs="Times New Roman"/>
                <w:sz w:val="24"/>
                <w:szCs w:val="24"/>
              </w:rPr>
            </w:pPr>
            <w:r w:rsidRPr="000E0780">
              <w:rPr>
                <w:rFonts w:ascii="Times New Roman" w:hAnsi="Times New Roman" w:cs="Times New Roman"/>
                <w:sz w:val="24"/>
                <w:szCs w:val="24"/>
                <w:lang w:val="uk-UA"/>
              </w:rPr>
              <w:t>Середнє</w:t>
            </w:r>
          </w:p>
        </w:tc>
        <w:tc>
          <w:tcPr>
            <w:tcW w:w="1980"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&lt;250</w:t>
            </w:r>
          </w:p>
        </w:tc>
        <w:tc>
          <w:tcPr>
            <w:tcW w:w="1890"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&lt;100 мільйонів</w:t>
            </w:r>
          </w:p>
        </w:tc>
        <w:tc>
          <w:tcPr>
            <w:tcW w:w="3349" w:type="dxa"/>
            <w:shd w:val="clear" w:color="auto" w:fill="auto"/>
          </w:tcPr>
          <w:p w:rsidR="00604F99" w:rsidRPr="000E0780" w:rsidRDefault="00604F99" w:rsidP="000E0780">
            <w:pPr>
              <w:spacing w:before="20" w:after="20"/>
              <w:jc w:val="center"/>
              <w:rPr>
                <w:rFonts w:ascii="Times New Roman" w:hAnsi="Times New Roman" w:cs="Times New Roman"/>
                <w:sz w:val="24"/>
                <w:szCs w:val="24"/>
              </w:rPr>
            </w:pPr>
            <w:r w:rsidRPr="000E0780">
              <w:rPr>
                <w:rFonts w:ascii="Times New Roman" w:hAnsi="Times New Roman" w:cs="Times New Roman"/>
                <w:sz w:val="24"/>
                <w:szCs w:val="24"/>
                <w:lang w:val="uk-UA"/>
              </w:rPr>
              <w:t>&lt;1</w:t>
            </w:r>
            <w:bookmarkStart w:id="1" w:name="_GoBack"/>
            <w:bookmarkEnd w:id="1"/>
            <w:r w:rsidRPr="000E0780">
              <w:rPr>
                <w:rFonts w:ascii="Times New Roman" w:hAnsi="Times New Roman" w:cs="Times New Roman"/>
                <w:sz w:val="24"/>
                <w:szCs w:val="24"/>
                <w:lang w:val="uk-UA"/>
              </w:rPr>
              <w:t>5 мільйонів</w:t>
            </w:r>
          </w:p>
        </w:tc>
      </w:tr>
    </w:tbl>
    <w:p w:rsidR="00604F99" w:rsidRPr="00604F99" w:rsidRDefault="00604F99" w:rsidP="00604F99">
      <w:pPr>
        <w:pStyle w:val="timesnewroman"/>
        <w:rPr>
          <w:szCs w:val="22"/>
        </w:rPr>
      </w:pPr>
    </w:p>
    <w:p w:rsidR="00604F99" w:rsidRPr="000E0780" w:rsidRDefault="00604F99" w:rsidP="00604F99">
      <w:pPr>
        <w:pStyle w:val="timesnewroman"/>
        <w:rPr>
          <w:sz w:val="24"/>
          <w:szCs w:val="24"/>
          <w:lang w:val="uk-UA"/>
        </w:rPr>
      </w:pPr>
      <w:r w:rsidRPr="000E0780">
        <w:rPr>
          <w:sz w:val="24"/>
          <w:szCs w:val="24"/>
          <w:lang w:val="uk-UA"/>
        </w:rPr>
        <w:t>Під кількістю працівників мається на увазі середня кількість працівників за звітний рік. Категорія ММСП включає виробників (сільськогосподарських виробників). Виробники повинні класифікуватися як мікро, малі або середні підприємства на підставі кількості найманих працівників в ЕПЗ (постійних та/або сезонних) протягом попередніх 12 місяців. Якщо виробник не наймає будь-якої постійної або сезонної робочої сили, його слід вважати мікропідприємством.</w:t>
      </w:r>
    </w:p>
    <w:p w:rsidR="00604F99" w:rsidRPr="000E0780" w:rsidRDefault="00604F99" w:rsidP="00604F99">
      <w:pPr>
        <w:pStyle w:val="timesnewroman"/>
        <w:rPr>
          <w:sz w:val="24"/>
          <w:szCs w:val="24"/>
          <w:lang w:val="uk-UA"/>
        </w:rPr>
      </w:pPr>
    </w:p>
    <w:p w:rsidR="00604F99" w:rsidRPr="000E0780" w:rsidRDefault="00604F99" w:rsidP="00604F99">
      <w:pPr>
        <w:pStyle w:val="timesnewroman"/>
        <w:rPr>
          <w:sz w:val="24"/>
          <w:szCs w:val="24"/>
          <w:lang w:val="uk-UA"/>
        </w:rPr>
      </w:pPr>
      <w:r w:rsidRPr="000E0780">
        <w:rPr>
          <w:sz w:val="24"/>
          <w:szCs w:val="24"/>
          <w:lang w:val="uk-UA"/>
        </w:rPr>
        <w:t>«Підсобні господарства» – це невеликі селянські господарства або великі сади, часто розташовані безпосередньо біля будинку, у яких працює сім'я, і які виробляють продукцію здебільшого для власного споживання, хоча вони можуть продавати частину своєї продукції. Українське законодавство визначає їх як некомерційні селянські господарства. AGRO, як правило, розглядає їх як «мікропідприємства».</w:t>
      </w:r>
    </w:p>
    <w:p w:rsidR="00604F99" w:rsidRPr="000E0780" w:rsidRDefault="00604F99" w:rsidP="00604F99">
      <w:pPr>
        <w:pStyle w:val="timesnewroman"/>
        <w:rPr>
          <w:sz w:val="24"/>
          <w:szCs w:val="24"/>
          <w:lang w:val="uk-UA"/>
        </w:rPr>
      </w:pPr>
    </w:p>
    <w:p w:rsidR="00604F99" w:rsidRPr="000E0780" w:rsidRDefault="00604F99" w:rsidP="00604F99">
      <w:pPr>
        <w:pStyle w:val="timesnewroman"/>
        <w:rPr>
          <w:sz w:val="24"/>
          <w:szCs w:val="24"/>
          <w:lang w:val="ru-RU"/>
        </w:rPr>
      </w:pPr>
      <w:r w:rsidRPr="000E0780">
        <w:rPr>
          <w:sz w:val="24"/>
          <w:szCs w:val="24"/>
          <w:lang w:val="uk-UA"/>
        </w:rPr>
        <w:t>«Сімейні (селянські) господарства» – це окрема категорія комерційних сільських господарств, визначена законодавством України, які виробляють продукцію для продажу на ринку, хоча вони можуть перебувати у сімейній власності і управлятися сім'єю. Вони можуть бути мікро, малими або середніми підприємствами, залежно від їхньої відповідності вищевказаним критеріям.</w:t>
      </w:r>
    </w:p>
    <w:p w:rsidR="00604F99" w:rsidRPr="00604F99" w:rsidRDefault="00604F99" w:rsidP="00604F99">
      <w:pPr>
        <w:pStyle w:val="timesnewroman"/>
        <w:rPr>
          <w:szCs w:val="22"/>
          <w:lang w:val="ru-RU"/>
        </w:rPr>
      </w:pPr>
    </w:p>
    <w:p w:rsidR="00604F99" w:rsidRDefault="00604F99"/>
    <w:sectPr w:rsidR="00604F9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bin">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4F99"/>
    <w:rsid w:val="000E0780"/>
    <w:rsid w:val="00604F9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45647A-4795-450F-80D7-282298DB3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sid w:val="00604F99"/>
  </w:style>
  <w:style w:type="paragraph" w:styleId="1">
    <w:name w:val="heading 1"/>
    <w:basedOn w:val="a"/>
    <w:next w:val="a"/>
    <w:link w:val="10"/>
    <w:uiPriority w:val="9"/>
    <w:qFormat/>
    <w:rsid w:val="00604F99"/>
    <w:pPr>
      <w:keepNext/>
      <w:keepLines/>
      <w:spacing w:before="240" w:after="60" w:line="240" w:lineRule="auto"/>
      <w:outlineLvl w:val="0"/>
    </w:pPr>
    <w:rPr>
      <w:rFonts w:ascii="Times New Roman" w:eastAsia="Cabin" w:hAnsi="Times New Roman" w:cs="Cabin"/>
      <w:b/>
      <w:color w:val="1F497D"/>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04F99"/>
    <w:rPr>
      <w:rFonts w:ascii="Times New Roman" w:eastAsia="Cabin" w:hAnsi="Times New Roman" w:cs="Cabin"/>
      <w:b/>
      <w:color w:val="1F497D"/>
      <w:sz w:val="24"/>
      <w:szCs w:val="20"/>
    </w:rPr>
  </w:style>
  <w:style w:type="paragraph" w:customStyle="1" w:styleId="timesnewroman">
    <w:name w:val="times new roman"/>
    <w:basedOn w:val="a"/>
    <w:rsid w:val="00604F99"/>
    <w:pPr>
      <w:spacing w:after="0" w:line="240" w:lineRule="auto"/>
    </w:pPr>
    <w:rPr>
      <w:rFonts w:ascii="Times New Roman" w:eastAsia="Cabin" w:hAnsi="Times New Roman" w:cs="Times New Roman"/>
      <w:color w:val="000000"/>
      <w:szCs w:val="20"/>
    </w:rPr>
  </w:style>
  <w:style w:type="table" w:styleId="a3">
    <w:name w:val="Table Grid"/>
    <w:basedOn w:val="a1"/>
    <w:uiPriority w:val="59"/>
    <w:rsid w:val="00604F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219</Words>
  <Characters>1251</Characters>
  <Application>Microsoft Office Word</Application>
  <DocSecurity>0</DocSecurity>
  <Lines>10</Lines>
  <Paragraphs>2</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ВИЗНАЧЕННЯ ММСП</vt:lpstr>
    </vt:vector>
  </TitlesOfParts>
  <Company/>
  <LinksUpToDate>false</LinksUpToDate>
  <CharactersWithSpaces>1468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Volodymyr Nakonechnyi</dc:creator>
  <cp:keywords/>
  <dc:description/>
  <cp:lastModifiedBy>Volodymyr Nakonechnyi</cp:lastModifiedBy>
  <cp:revision>2</cp:revision>
  <dcterms:created xsi:type="dcterms:W3CDTF">2020-05-22T10:41:00Z</dcterms:created>
  <dcterms:modified xsi:type="dcterms:W3CDTF">2020-05-26T09:55:00Z</dcterms:modified>
</cp:coreProperties>
</file>