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5"/>
        <w:gridCol w:w="3780"/>
        <w:gridCol w:w="4431"/>
      </w:tblGrid>
      <w:tr w:rsidR="00140C0D" w:rsidRPr="00063270" w14:paraId="12690ADF" w14:textId="77777777" w:rsidTr="00140C0D">
        <w:tc>
          <w:tcPr>
            <w:tcW w:w="805" w:type="dxa"/>
          </w:tcPr>
          <w:p w14:paraId="3F5C045D" w14:textId="77777777" w:rsidR="00140C0D" w:rsidRPr="00063270" w:rsidRDefault="00140C0D">
            <w:pPr>
              <w:rPr>
                <w:rFonts w:cstheme="minorHAnsi"/>
              </w:rPr>
            </w:pPr>
            <w:bookmarkStart w:id="0" w:name="_GoBack" w:colFirst="3" w:colLast="3"/>
            <w:r w:rsidRPr="00063270">
              <w:rPr>
                <w:rFonts w:cstheme="minorHAnsi"/>
              </w:rPr>
              <w:t>#</w:t>
            </w:r>
          </w:p>
        </w:tc>
        <w:tc>
          <w:tcPr>
            <w:tcW w:w="3780" w:type="dxa"/>
          </w:tcPr>
          <w:p w14:paraId="482035D5" w14:textId="77777777" w:rsidR="00140C0D" w:rsidRPr="00063270" w:rsidRDefault="00140C0D">
            <w:pPr>
              <w:rPr>
                <w:rFonts w:cstheme="minorHAnsi"/>
              </w:rPr>
            </w:pPr>
            <w:r w:rsidRPr="00063270">
              <w:rPr>
                <w:rFonts w:cstheme="minorHAnsi"/>
              </w:rPr>
              <w:t xml:space="preserve">Question </w:t>
            </w:r>
          </w:p>
        </w:tc>
        <w:tc>
          <w:tcPr>
            <w:tcW w:w="4431" w:type="dxa"/>
          </w:tcPr>
          <w:p w14:paraId="16BE0240" w14:textId="77777777" w:rsidR="00140C0D" w:rsidRPr="00063270" w:rsidRDefault="00140C0D">
            <w:pPr>
              <w:rPr>
                <w:rFonts w:cstheme="minorHAnsi"/>
              </w:rPr>
            </w:pPr>
            <w:r w:rsidRPr="00063270">
              <w:rPr>
                <w:rFonts w:cstheme="minorHAnsi"/>
              </w:rPr>
              <w:t xml:space="preserve">Response </w:t>
            </w:r>
          </w:p>
        </w:tc>
      </w:tr>
      <w:tr w:rsidR="00140C0D" w:rsidRPr="00063270" w14:paraId="6CBCFCCE" w14:textId="77777777" w:rsidTr="00140C0D">
        <w:tc>
          <w:tcPr>
            <w:tcW w:w="805" w:type="dxa"/>
            <w:vAlign w:val="center"/>
          </w:tcPr>
          <w:p w14:paraId="62D2DAA3" w14:textId="77777777" w:rsidR="00140C0D" w:rsidRPr="00063270" w:rsidRDefault="00140C0D" w:rsidP="00140C0D">
            <w:pPr>
              <w:jc w:val="center"/>
              <w:rPr>
                <w:rFonts w:cstheme="minorHAnsi"/>
              </w:rPr>
            </w:pPr>
            <w:r w:rsidRPr="00063270">
              <w:rPr>
                <w:rFonts w:cstheme="minorHAnsi"/>
              </w:rPr>
              <w:t>1</w:t>
            </w:r>
          </w:p>
        </w:tc>
        <w:tc>
          <w:tcPr>
            <w:tcW w:w="3780" w:type="dxa"/>
          </w:tcPr>
          <w:p w14:paraId="4E1A7FF2" w14:textId="77777777" w:rsidR="00140C0D" w:rsidRPr="00063270" w:rsidRDefault="00140C0D">
            <w:pPr>
              <w:rPr>
                <w:rFonts w:cstheme="minorHAnsi"/>
              </w:rPr>
            </w:pPr>
            <w:r w:rsidRPr="00063270">
              <w:rPr>
                <w:rFonts w:cstheme="minorHAnsi"/>
              </w:rPr>
              <w:t>Please confirm that the Awarding Entity allows the offeror to have subcontractors. Do you need any confirming subcontracting agreements/ letters to be provided to you?</w:t>
            </w:r>
          </w:p>
        </w:tc>
        <w:tc>
          <w:tcPr>
            <w:tcW w:w="4431" w:type="dxa"/>
          </w:tcPr>
          <w:p w14:paraId="69AB53DC" w14:textId="12BAA22B" w:rsidR="00140C0D" w:rsidRPr="00063270" w:rsidRDefault="00140C0D">
            <w:pPr>
              <w:rPr>
                <w:rFonts w:cstheme="minorHAnsi"/>
              </w:rPr>
            </w:pPr>
            <w:r w:rsidRPr="00063270">
              <w:rPr>
                <w:rFonts w:cstheme="minorHAnsi"/>
              </w:rPr>
              <w:t xml:space="preserve">Yes, we confirm. The prime subcontractor shall disclose the percentage of work that will be implemented by the second- tier subcontractor, as well as submit a separate detailed SOW, detailed budget, resumes and 1420 form for the proposed personnel, etc. </w:t>
            </w:r>
          </w:p>
        </w:tc>
      </w:tr>
      <w:tr w:rsidR="00140C0D" w:rsidRPr="00063270" w14:paraId="2C19928E" w14:textId="77777777" w:rsidTr="00140C0D">
        <w:tc>
          <w:tcPr>
            <w:tcW w:w="805" w:type="dxa"/>
            <w:vAlign w:val="center"/>
          </w:tcPr>
          <w:p w14:paraId="293B5B88" w14:textId="77777777" w:rsidR="00140C0D" w:rsidRPr="00063270" w:rsidRDefault="00140C0D" w:rsidP="00140C0D">
            <w:pPr>
              <w:jc w:val="center"/>
              <w:rPr>
                <w:rFonts w:cstheme="minorHAnsi"/>
              </w:rPr>
            </w:pPr>
            <w:r w:rsidRPr="00063270">
              <w:rPr>
                <w:rFonts w:cstheme="minorHAnsi"/>
              </w:rPr>
              <w:t>2</w:t>
            </w:r>
          </w:p>
        </w:tc>
        <w:tc>
          <w:tcPr>
            <w:tcW w:w="3780" w:type="dxa"/>
          </w:tcPr>
          <w:p w14:paraId="65332B13" w14:textId="77777777" w:rsidR="00140C0D" w:rsidRPr="00063270" w:rsidRDefault="00140C0D" w:rsidP="00063270">
            <w:pPr>
              <w:rPr>
                <w:rFonts w:cstheme="minorHAnsi"/>
              </w:rPr>
            </w:pPr>
            <w:r w:rsidRPr="00063270">
              <w:rPr>
                <w:rFonts w:cstheme="minorHAnsi"/>
              </w:rPr>
              <w:t>Please confirm that the offeror may be a consortium of entities.</w:t>
            </w:r>
          </w:p>
          <w:p w14:paraId="77085A5B" w14:textId="77777777" w:rsidR="00140C0D" w:rsidRPr="00063270" w:rsidRDefault="00140C0D" w:rsidP="00063270">
            <w:pPr>
              <w:rPr>
                <w:rFonts w:cstheme="minorHAnsi"/>
              </w:rPr>
            </w:pPr>
            <w:r w:rsidRPr="00063270">
              <w:rPr>
                <w:rFonts w:cstheme="minorHAnsi"/>
              </w:rPr>
              <w:t>Do you need any letters/agreement from the members of consortium confirming the consortium is formed?</w:t>
            </w:r>
          </w:p>
        </w:tc>
        <w:tc>
          <w:tcPr>
            <w:tcW w:w="4431" w:type="dxa"/>
          </w:tcPr>
          <w:p w14:paraId="167F48D3" w14:textId="00E1D2D7" w:rsidR="00140C0D" w:rsidRPr="00063270" w:rsidRDefault="00140C0D" w:rsidP="00063270">
            <w:pPr>
              <w:rPr>
                <w:rFonts w:cstheme="minorHAnsi"/>
              </w:rPr>
            </w:pPr>
            <w:r w:rsidRPr="00063270">
              <w:rPr>
                <w:rFonts w:cstheme="minorHAnsi"/>
              </w:rPr>
              <w:t xml:space="preserve">Yes, we confirm. Please see </w:t>
            </w:r>
            <w:r w:rsidR="00F91348" w:rsidRPr="00063270">
              <w:rPr>
                <w:rFonts w:cstheme="minorHAnsi"/>
              </w:rPr>
              <w:t xml:space="preserve">the </w:t>
            </w:r>
            <w:r w:rsidRPr="00063270">
              <w:rPr>
                <w:rFonts w:cstheme="minorHAnsi"/>
              </w:rPr>
              <w:t>response to t</w:t>
            </w:r>
            <w:r w:rsidR="009761FF" w:rsidRPr="00063270">
              <w:rPr>
                <w:rFonts w:cstheme="minorHAnsi"/>
              </w:rPr>
              <w:t xml:space="preserve">he </w:t>
            </w:r>
            <w:r w:rsidRPr="00063270">
              <w:rPr>
                <w:rFonts w:cstheme="minorHAnsi"/>
              </w:rPr>
              <w:t>question 1</w:t>
            </w:r>
            <w:r w:rsidR="00F91348" w:rsidRPr="00063270">
              <w:rPr>
                <w:rFonts w:cstheme="minorHAnsi"/>
              </w:rPr>
              <w:t>.</w:t>
            </w:r>
            <w:r w:rsidRPr="00063270">
              <w:rPr>
                <w:rFonts w:cstheme="minorHAnsi"/>
              </w:rPr>
              <w:t xml:space="preserve"> </w:t>
            </w:r>
          </w:p>
        </w:tc>
      </w:tr>
      <w:tr w:rsidR="00140C0D" w:rsidRPr="00063270" w14:paraId="1AAF48EC" w14:textId="77777777" w:rsidTr="00140C0D">
        <w:tc>
          <w:tcPr>
            <w:tcW w:w="805" w:type="dxa"/>
            <w:vAlign w:val="center"/>
          </w:tcPr>
          <w:p w14:paraId="6C182B7F" w14:textId="77777777" w:rsidR="00140C0D" w:rsidRPr="00063270" w:rsidRDefault="00140C0D" w:rsidP="00140C0D">
            <w:pPr>
              <w:jc w:val="center"/>
              <w:rPr>
                <w:rFonts w:cstheme="minorHAnsi"/>
              </w:rPr>
            </w:pPr>
            <w:r w:rsidRPr="00063270">
              <w:rPr>
                <w:rFonts w:cstheme="minorHAnsi"/>
              </w:rPr>
              <w:t>3</w:t>
            </w:r>
          </w:p>
        </w:tc>
        <w:tc>
          <w:tcPr>
            <w:tcW w:w="3780" w:type="dxa"/>
          </w:tcPr>
          <w:p w14:paraId="7649A623" w14:textId="77777777" w:rsidR="00140C0D" w:rsidRPr="00063270" w:rsidRDefault="00140C0D" w:rsidP="00063270">
            <w:pPr>
              <w:rPr>
                <w:rFonts w:cstheme="minorHAnsi"/>
              </w:rPr>
            </w:pPr>
            <w:r w:rsidRPr="00063270">
              <w:rPr>
                <w:rFonts w:cstheme="minorHAnsi"/>
              </w:rPr>
              <w:t>1) Please confirm that it is only the offeror or the consortium leader that should comply with the formal requirements.</w:t>
            </w:r>
          </w:p>
          <w:p w14:paraId="0277886D" w14:textId="77777777" w:rsidR="00140C0D" w:rsidRPr="00063270" w:rsidRDefault="00140C0D" w:rsidP="00063270">
            <w:pPr>
              <w:rPr>
                <w:rFonts w:cstheme="minorHAnsi"/>
              </w:rPr>
            </w:pPr>
            <w:r w:rsidRPr="00063270">
              <w:rPr>
                <w:rFonts w:cstheme="minorHAnsi"/>
              </w:rPr>
              <w:t>2) Should only offeror or the consortium leader receive the DUNS number or all subcontractors/consortium members?</w:t>
            </w:r>
          </w:p>
        </w:tc>
        <w:tc>
          <w:tcPr>
            <w:tcW w:w="4431" w:type="dxa"/>
          </w:tcPr>
          <w:p w14:paraId="34418A5C" w14:textId="77777777" w:rsidR="009761FF" w:rsidRPr="00063270" w:rsidRDefault="009761FF" w:rsidP="00063270">
            <w:pPr>
              <w:rPr>
                <w:rFonts w:cstheme="minorHAnsi"/>
              </w:rPr>
            </w:pPr>
            <w:r w:rsidRPr="00063270">
              <w:rPr>
                <w:rFonts w:cstheme="minorHAnsi"/>
              </w:rPr>
              <w:t>1) All second-tier subcontractors must comply with the requirements outlined in the RFP</w:t>
            </w:r>
          </w:p>
          <w:p w14:paraId="70A493DF" w14:textId="09AB13CF" w:rsidR="00140C0D" w:rsidRDefault="009761FF" w:rsidP="00063270">
            <w:pPr>
              <w:rPr>
                <w:rFonts w:cstheme="minorHAnsi"/>
              </w:rPr>
            </w:pPr>
            <w:r w:rsidRPr="00063270">
              <w:rPr>
                <w:rFonts w:cstheme="minorHAnsi"/>
              </w:rPr>
              <w:t>2) All second-tier subcontractors must comply with the requirements outlined in the RFP, including obtaining DUNS and SAM numbers if the proposed second-tier subcontract price is above $30,000</w:t>
            </w:r>
          </w:p>
          <w:p w14:paraId="03239B68" w14:textId="77777777" w:rsidR="00EA10AC" w:rsidRDefault="00EA10AC" w:rsidP="00063270">
            <w:pPr>
              <w:rPr>
                <w:rFonts w:cstheme="minorHAnsi"/>
              </w:rPr>
            </w:pPr>
          </w:p>
          <w:p w14:paraId="67587B9D" w14:textId="136A6E3B" w:rsidR="00EA10AC" w:rsidRDefault="00EA10AC" w:rsidP="00EA10AC">
            <w:r>
              <w:t xml:space="preserve">Active DUNS number or evidence of process of registering for DUNS number is required at stage of submitting proposal.  </w:t>
            </w:r>
          </w:p>
          <w:p w14:paraId="488B1977" w14:textId="77777777" w:rsidR="00EA10AC" w:rsidRDefault="00EA10AC" w:rsidP="00EA10AC"/>
          <w:p w14:paraId="1B5CC57F" w14:textId="77777777" w:rsidR="00EA10AC" w:rsidRDefault="00EA10AC" w:rsidP="00EA10AC">
            <w:r>
              <w:t>DUNS Number shall be active and SAM.gov registration completed before finalization of subcontract agreement.</w:t>
            </w:r>
          </w:p>
          <w:p w14:paraId="511155C1" w14:textId="77777777" w:rsidR="00EA10AC" w:rsidRDefault="00EA10AC" w:rsidP="00EA10AC"/>
          <w:p w14:paraId="2113A4EE" w14:textId="77777777" w:rsidR="00EA10AC" w:rsidRDefault="00EA10AC" w:rsidP="00EA10AC">
            <w:r>
              <w:t>Only legal entities need DUNS numbers.</w:t>
            </w:r>
          </w:p>
          <w:p w14:paraId="6A92BED1" w14:textId="3DE3CDBC" w:rsidR="00EA10AC" w:rsidRPr="00063270" w:rsidRDefault="00EA10AC" w:rsidP="00063270">
            <w:pPr>
              <w:rPr>
                <w:rFonts w:cstheme="minorHAnsi"/>
              </w:rPr>
            </w:pPr>
          </w:p>
        </w:tc>
      </w:tr>
      <w:tr w:rsidR="00140C0D" w:rsidRPr="00063270" w14:paraId="34BFB98D" w14:textId="77777777" w:rsidTr="00140C0D">
        <w:tc>
          <w:tcPr>
            <w:tcW w:w="805" w:type="dxa"/>
            <w:vAlign w:val="center"/>
          </w:tcPr>
          <w:p w14:paraId="518D35EA" w14:textId="77777777" w:rsidR="00140C0D" w:rsidRPr="00063270" w:rsidRDefault="00140C0D" w:rsidP="00140C0D">
            <w:pPr>
              <w:jc w:val="center"/>
              <w:rPr>
                <w:rFonts w:cstheme="minorHAnsi"/>
              </w:rPr>
            </w:pPr>
            <w:r w:rsidRPr="00063270">
              <w:rPr>
                <w:rFonts w:cstheme="minorHAnsi"/>
              </w:rPr>
              <w:t>4</w:t>
            </w:r>
          </w:p>
        </w:tc>
        <w:tc>
          <w:tcPr>
            <w:tcW w:w="3780" w:type="dxa"/>
          </w:tcPr>
          <w:p w14:paraId="315A23FB" w14:textId="77777777" w:rsidR="00140C0D" w:rsidRPr="00063270" w:rsidRDefault="00140C0D" w:rsidP="00063270">
            <w:pPr>
              <w:rPr>
                <w:rFonts w:cstheme="minorHAnsi"/>
              </w:rPr>
            </w:pPr>
            <w:r w:rsidRPr="00063270">
              <w:rPr>
                <w:rFonts w:cstheme="minorHAnsi"/>
              </w:rPr>
              <w:t>Please confirm that the offeror may provide description of studies or assignments undertaken by the offeror or the dedicated team members even when a given task was not assigned to the offeror itself but to its team members where the entire team changed firms in the last years.</w:t>
            </w:r>
          </w:p>
          <w:p w14:paraId="6A232315" w14:textId="77777777" w:rsidR="00140C0D" w:rsidRPr="00063270" w:rsidRDefault="00140C0D" w:rsidP="00063270">
            <w:pPr>
              <w:rPr>
                <w:rFonts w:cstheme="minorHAnsi"/>
              </w:rPr>
            </w:pPr>
            <w:r w:rsidRPr="00063270">
              <w:rPr>
                <w:rFonts w:cstheme="minorHAnsi"/>
              </w:rPr>
              <w:t>Can individual experts be engaged?</w:t>
            </w:r>
          </w:p>
        </w:tc>
        <w:tc>
          <w:tcPr>
            <w:tcW w:w="4431" w:type="dxa"/>
          </w:tcPr>
          <w:p w14:paraId="6105C0BB" w14:textId="364B1BFC" w:rsidR="00140C0D" w:rsidRPr="00063270" w:rsidRDefault="00F91348" w:rsidP="00063270">
            <w:pPr>
              <w:rPr>
                <w:rFonts w:cstheme="minorHAnsi"/>
              </w:rPr>
            </w:pPr>
            <w:r w:rsidRPr="00063270">
              <w:rPr>
                <w:rFonts w:cstheme="minorHAnsi"/>
              </w:rPr>
              <w:t xml:space="preserve">Individual experts can be engaged. Description of studies or assignments by individual team members can be cited </w:t>
            </w:r>
            <w:proofErr w:type="gramStart"/>
            <w:r w:rsidRPr="00063270">
              <w:rPr>
                <w:rFonts w:cstheme="minorHAnsi"/>
              </w:rPr>
              <w:t>but in such cases</w:t>
            </w:r>
            <w:proofErr w:type="gramEnd"/>
            <w:r w:rsidRPr="00063270">
              <w:rPr>
                <w:rFonts w:cstheme="minorHAnsi"/>
              </w:rPr>
              <w:t xml:space="preserve">, the individual’s role and contribution must be defined clearly and it should be noted if the actual contract/engagement was held by another firm (e.g., former employer, prime contractor). </w:t>
            </w:r>
          </w:p>
        </w:tc>
      </w:tr>
      <w:tr w:rsidR="00140C0D" w:rsidRPr="00063270" w14:paraId="1DEFD048" w14:textId="77777777" w:rsidTr="00140C0D">
        <w:tc>
          <w:tcPr>
            <w:tcW w:w="805" w:type="dxa"/>
            <w:vAlign w:val="center"/>
          </w:tcPr>
          <w:p w14:paraId="3A3E141D" w14:textId="77777777" w:rsidR="00140C0D" w:rsidRPr="00063270" w:rsidRDefault="00140C0D" w:rsidP="00140C0D">
            <w:pPr>
              <w:jc w:val="center"/>
              <w:rPr>
                <w:rFonts w:cstheme="minorHAnsi"/>
              </w:rPr>
            </w:pPr>
            <w:r w:rsidRPr="00063270">
              <w:rPr>
                <w:rFonts w:cstheme="minorHAnsi"/>
              </w:rPr>
              <w:t>5</w:t>
            </w:r>
          </w:p>
        </w:tc>
        <w:tc>
          <w:tcPr>
            <w:tcW w:w="3780" w:type="dxa"/>
          </w:tcPr>
          <w:p w14:paraId="7A9677B8" w14:textId="77777777" w:rsidR="00140C0D" w:rsidRPr="00063270" w:rsidRDefault="00140C0D">
            <w:pPr>
              <w:rPr>
                <w:rFonts w:cstheme="minorHAnsi"/>
              </w:rPr>
            </w:pPr>
            <w:r w:rsidRPr="00063270">
              <w:rPr>
                <w:rFonts w:cstheme="minorHAnsi"/>
              </w:rPr>
              <w:t>Please confirm that considering the corona virus circumstances and restrictions connected to that performance of the SoW can be made remotely and that all necessary information and documents within the project will be made available in the same way. If certain works need to be made physically in Ukraine (e.g. interviews, etc.), could you please specify such works?</w:t>
            </w:r>
          </w:p>
        </w:tc>
        <w:tc>
          <w:tcPr>
            <w:tcW w:w="4431" w:type="dxa"/>
          </w:tcPr>
          <w:p w14:paraId="605873E5" w14:textId="0B4AB2CD" w:rsidR="00F91348" w:rsidRPr="00063270" w:rsidRDefault="001924CF" w:rsidP="00F91348">
            <w:pPr>
              <w:spacing w:before="120"/>
              <w:rPr>
                <w:rFonts w:cstheme="minorHAnsi"/>
              </w:rPr>
            </w:pPr>
            <w:r w:rsidRPr="00063270">
              <w:rPr>
                <w:rFonts w:cstheme="minorHAnsi"/>
              </w:rPr>
              <w:t>Certainly, there is an understanding that regardless of the status of the quarantine measures in Ukraine and other countries, it is beneficial for as many elements of the scope to be conducted via conference calls, interviews by phone, and email. However, s</w:t>
            </w:r>
            <w:r w:rsidR="00F91348" w:rsidRPr="00063270">
              <w:rPr>
                <w:rFonts w:cstheme="minorHAnsi"/>
              </w:rPr>
              <w:t xml:space="preserve">ome scope elements will require field investigation. For instance, “Field research to non-conflict areas to review conditions of the water conveyances and assets used by Voda </w:t>
            </w:r>
            <w:proofErr w:type="spellStart"/>
            <w:r w:rsidR="00F91348" w:rsidRPr="00063270">
              <w:rPr>
                <w:rFonts w:cstheme="minorHAnsi"/>
              </w:rPr>
              <w:t>Donbasu</w:t>
            </w:r>
            <w:proofErr w:type="spellEnd"/>
            <w:r w:rsidR="00F91348" w:rsidRPr="00063270">
              <w:rPr>
                <w:rFonts w:cstheme="minorHAnsi"/>
              </w:rPr>
              <w:t xml:space="preserve">, combined with meetings with Voda </w:t>
            </w:r>
            <w:proofErr w:type="spellStart"/>
            <w:r w:rsidR="00F91348" w:rsidRPr="00063270">
              <w:rPr>
                <w:rFonts w:cstheme="minorHAnsi"/>
              </w:rPr>
              <w:t>Donbasu</w:t>
            </w:r>
            <w:proofErr w:type="spellEnd"/>
            <w:r w:rsidR="00F91348" w:rsidRPr="00063270">
              <w:rPr>
                <w:rFonts w:cstheme="minorHAnsi"/>
              </w:rPr>
              <w:t xml:space="preserve"> management to ensure adequate </w:t>
            </w:r>
            <w:r w:rsidR="00F91348" w:rsidRPr="00063270">
              <w:rPr>
                <w:rFonts w:cstheme="minorHAnsi"/>
              </w:rPr>
              <w:lastRenderedPageBreak/>
              <w:t xml:space="preserve">understanding of the situation facing the utility and information the utility may also have on hand.” Also, it is anticipated that the analysis of electricity usage by the utility will require some amount of field work. </w:t>
            </w:r>
          </w:p>
          <w:p w14:paraId="049CCD90" w14:textId="3C63080F" w:rsidR="00F91348" w:rsidRPr="00063270" w:rsidRDefault="00F91348">
            <w:pPr>
              <w:rPr>
                <w:rFonts w:cstheme="minorHAnsi"/>
              </w:rPr>
            </w:pPr>
          </w:p>
          <w:p w14:paraId="797BD037" w14:textId="7580338A" w:rsidR="00140C0D" w:rsidRPr="00063270" w:rsidRDefault="00F91348">
            <w:pPr>
              <w:rPr>
                <w:rFonts w:cstheme="minorHAnsi"/>
              </w:rPr>
            </w:pPr>
            <w:r w:rsidRPr="00063270">
              <w:rPr>
                <w:rFonts w:cstheme="minorHAnsi"/>
              </w:rPr>
              <w:t xml:space="preserve">Given the Covid-19 circumstance, the bidder should describe: (a) what elements of the statement of work they believe can be performed remotely; (b) what activities they believe will necessitate field inspection, such as the examples provided above; and (c) the impact on delivery if the field inspection activities cannot be undertaken in the timeframe noted. </w:t>
            </w:r>
          </w:p>
        </w:tc>
      </w:tr>
      <w:tr w:rsidR="00140C0D" w:rsidRPr="00063270" w14:paraId="40DAA211" w14:textId="77777777" w:rsidTr="00140C0D">
        <w:tc>
          <w:tcPr>
            <w:tcW w:w="805" w:type="dxa"/>
            <w:vAlign w:val="center"/>
          </w:tcPr>
          <w:p w14:paraId="14162F34" w14:textId="77777777" w:rsidR="00140C0D" w:rsidRPr="00063270" w:rsidRDefault="00140C0D" w:rsidP="00140C0D">
            <w:pPr>
              <w:jc w:val="center"/>
              <w:rPr>
                <w:rFonts w:cstheme="minorHAnsi"/>
              </w:rPr>
            </w:pPr>
            <w:r w:rsidRPr="00063270">
              <w:rPr>
                <w:rFonts w:cstheme="minorHAnsi"/>
              </w:rPr>
              <w:lastRenderedPageBreak/>
              <w:t>6</w:t>
            </w:r>
          </w:p>
        </w:tc>
        <w:tc>
          <w:tcPr>
            <w:tcW w:w="3780" w:type="dxa"/>
          </w:tcPr>
          <w:p w14:paraId="321D9796" w14:textId="77777777" w:rsidR="00140C0D" w:rsidRPr="00063270" w:rsidRDefault="00140C0D" w:rsidP="00063270">
            <w:pPr>
              <w:rPr>
                <w:rFonts w:cstheme="minorHAnsi"/>
              </w:rPr>
            </w:pPr>
            <w:r w:rsidRPr="00063270">
              <w:rPr>
                <w:rFonts w:cstheme="minorHAnsi"/>
              </w:rPr>
              <w:t xml:space="preserve">The RFP officially outlines the compulsory pre-requisite for participation in the project as the Offerors’ and their Sub-Contractors’ origination from the countries included in the geographic codes 937 and 110. Is it possible for the entities, located within the geographic codes 937 and 110, to use the support/ resources from the entities, located outside the geographic codes, within the same capital group?   </w:t>
            </w:r>
          </w:p>
          <w:p w14:paraId="344D2A16" w14:textId="77777777" w:rsidR="00140C0D" w:rsidRPr="00063270" w:rsidRDefault="00140C0D" w:rsidP="00063270">
            <w:pPr>
              <w:rPr>
                <w:rFonts w:cstheme="minorHAnsi"/>
              </w:rPr>
            </w:pPr>
            <w:r w:rsidRPr="00063270">
              <w:rPr>
                <w:rFonts w:cstheme="minorHAnsi"/>
              </w:rPr>
              <w:t>Is it possible to change this requirement or receive a waiver?</w:t>
            </w:r>
          </w:p>
          <w:p w14:paraId="0F546A9B" w14:textId="77777777" w:rsidR="00140C0D" w:rsidRPr="00063270" w:rsidRDefault="00140C0D" w:rsidP="00063270">
            <w:pPr>
              <w:rPr>
                <w:rFonts w:cstheme="minorHAnsi"/>
              </w:rPr>
            </w:pPr>
            <w:r w:rsidRPr="00063270">
              <w:rPr>
                <w:rFonts w:cstheme="minorHAnsi"/>
              </w:rPr>
              <w:t>Can individual experts engaged be citizens of restricted geographic codes?</w:t>
            </w:r>
          </w:p>
        </w:tc>
        <w:tc>
          <w:tcPr>
            <w:tcW w:w="4431" w:type="dxa"/>
          </w:tcPr>
          <w:p w14:paraId="304727D6" w14:textId="05CF55F1" w:rsidR="001924CF" w:rsidRDefault="009761FF" w:rsidP="00063270">
            <w:pPr>
              <w:rPr>
                <w:rFonts w:cstheme="minorHAnsi"/>
              </w:rPr>
            </w:pPr>
            <w:r w:rsidRPr="00063270">
              <w:rPr>
                <w:rFonts w:cstheme="minorHAnsi"/>
              </w:rPr>
              <w:t>Offerors outside the geographic code are eligible to apply. Offerors or their lower-tier subcontractors, if any, outside the 937 and 110 country code will be subject to separate USAID approval and waiver process if selected for award</w:t>
            </w:r>
          </w:p>
          <w:p w14:paraId="7E20A583" w14:textId="77777777" w:rsidR="00EA10AC" w:rsidRPr="00063270" w:rsidRDefault="00EA10AC" w:rsidP="00063270">
            <w:pPr>
              <w:rPr>
                <w:rFonts w:cstheme="minorHAnsi"/>
              </w:rPr>
            </w:pPr>
          </w:p>
          <w:p w14:paraId="07396BB5" w14:textId="77777777" w:rsidR="009761FF" w:rsidRDefault="009761FF" w:rsidP="00063270">
            <w:pPr>
              <w:rPr>
                <w:rFonts w:cstheme="minorHAnsi"/>
              </w:rPr>
            </w:pPr>
            <w:r w:rsidRPr="00063270">
              <w:rPr>
                <w:rFonts w:cstheme="minorHAnsi"/>
              </w:rPr>
              <w:t xml:space="preserve">Individuals that are part of the offeror’s proposal are eligible from the regions that are outside </w:t>
            </w:r>
            <w:r w:rsidR="00495B8E">
              <w:rPr>
                <w:rFonts w:cstheme="minorHAnsi"/>
              </w:rPr>
              <w:t xml:space="preserve">of </w:t>
            </w:r>
            <w:r w:rsidRPr="00063270">
              <w:rPr>
                <w:rFonts w:cstheme="minorHAnsi"/>
              </w:rPr>
              <w:t>the codes 937 and 110 except prohibited sources: Iran, Syria, North Korea, Cuba</w:t>
            </w:r>
          </w:p>
          <w:p w14:paraId="486062AE" w14:textId="77777777" w:rsidR="00EA10AC" w:rsidRDefault="00EA10AC" w:rsidP="00063270">
            <w:pPr>
              <w:rPr>
                <w:rFonts w:cstheme="minorHAnsi"/>
              </w:rPr>
            </w:pPr>
          </w:p>
          <w:p w14:paraId="348A8344" w14:textId="325EEFEB" w:rsidR="00EA10AC" w:rsidRPr="00063270" w:rsidRDefault="00EA10AC" w:rsidP="00063270">
            <w:pPr>
              <w:rPr>
                <w:rFonts w:cstheme="minorHAnsi"/>
              </w:rPr>
            </w:pPr>
            <w:r>
              <w:rPr>
                <w:rFonts w:cstheme="minorHAnsi"/>
              </w:rPr>
              <w:t>Amendment 1 to the RFP reflects these changes.</w:t>
            </w:r>
          </w:p>
        </w:tc>
      </w:tr>
      <w:bookmarkEnd w:id="0"/>
    </w:tbl>
    <w:p w14:paraId="1E884244" w14:textId="77777777" w:rsidR="00E8495C" w:rsidRPr="00063270" w:rsidRDefault="00E8495C">
      <w:pPr>
        <w:rPr>
          <w:rFonts w:cstheme="minorHAnsi"/>
        </w:rPr>
      </w:pPr>
    </w:p>
    <w:sectPr w:rsidR="00E8495C" w:rsidRPr="00063270" w:rsidSect="00FD2A2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172B"/>
    <w:multiLevelType w:val="hybridMultilevel"/>
    <w:tmpl w:val="ED0E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0D"/>
    <w:rsid w:val="00063270"/>
    <w:rsid w:val="00140C0D"/>
    <w:rsid w:val="001924CF"/>
    <w:rsid w:val="00495B8E"/>
    <w:rsid w:val="004F574A"/>
    <w:rsid w:val="005434AF"/>
    <w:rsid w:val="00856E72"/>
    <w:rsid w:val="009761FF"/>
    <w:rsid w:val="00BD7230"/>
    <w:rsid w:val="00E8495C"/>
    <w:rsid w:val="00EA10AC"/>
    <w:rsid w:val="00F91348"/>
    <w:rsid w:val="00FD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2CBC"/>
  <w15:chartTrackingRefBased/>
  <w15:docId w15:val="{72102115-60FD-4F93-8407-94486B5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34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9078">
      <w:bodyDiv w:val="1"/>
      <w:marLeft w:val="0"/>
      <w:marRight w:val="0"/>
      <w:marTop w:val="0"/>
      <w:marBottom w:val="0"/>
      <w:divBdr>
        <w:top w:val="none" w:sz="0" w:space="0" w:color="auto"/>
        <w:left w:val="none" w:sz="0" w:space="0" w:color="auto"/>
        <w:bottom w:val="none" w:sz="0" w:space="0" w:color="auto"/>
        <w:right w:val="none" w:sz="0" w:space="0" w:color="auto"/>
      </w:divBdr>
    </w:div>
    <w:div w:id="475683232">
      <w:bodyDiv w:val="1"/>
      <w:marLeft w:val="0"/>
      <w:marRight w:val="0"/>
      <w:marTop w:val="0"/>
      <w:marBottom w:val="0"/>
      <w:divBdr>
        <w:top w:val="none" w:sz="0" w:space="0" w:color="auto"/>
        <w:left w:val="none" w:sz="0" w:space="0" w:color="auto"/>
        <w:bottom w:val="none" w:sz="0" w:space="0" w:color="auto"/>
        <w:right w:val="none" w:sz="0" w:space="0" w:color="auto"/>
      </w:divBdr>
    </w:div>
    <w:div w:id="1005716020">
      <w:bodyDiv w:val="1"/>
      <w:marLeft w:val="0"/>
      <w:marRight w:val="0"/>
      <w:marTop w:val="0"/>
      <w:marBottom w:val="0"/>
      <w:divBdr>
        <w:top w:val="none" w:sz="0" w:space="0" w:color="auto"/>
        <w:left w:val="none" w:sz="0" w:space="0" w:color="auto"/>
        <w:bottom w:val="none" w:sz="0" w:space="0" w:color="auto"/>
        <w:right w:val="none" w:sz="0" w:space="0" w:color="auto"/>
      </w:divBdr>
    </w:div>
    <w:div w:id="1619792989">
      <w:bodyDiv w:val="1"/>
      <w:marLeft w:val="0"/>
      <w:marRight w:val="0"/>
      <w:marTop w:val="0"/>
      <w:marBottom w:val="0"/>
      <w:divBdr>
        <w:top w:val="none" w:sz="0" w:space="0" w:color="auto"/>
        <w:left w:val="none" w:sz="0" w:space="0" w:color="auto"/>
        <w:bottom w:val="none" w:sz="0" w:space="0" w:color="auto"/>
        <w:right w:val="none" w:sz="0" w:space="0" w:color="auto"/>
      </w:divBdr>
    </w:div>
    <w:div w:id="16641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Kuzin, Oleksandr</cp:lastModifiedBy>
  <cp:revision>3</cp:revision>
  <dcterms:created xsi:type="dcterms:W3CDTF">2020-04-29T09:41:00Z</dcterms:created>
  <dcterms:modified xsi:type="dcterms:W3CDTF">2020-04-29T10:04:00Z</dcterms:modified>
</cp:coreProperties>
</file>