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98" w:rsidRPr="00361F0F" w:rsidRDefault="00A54C98" w:rsidP="00A54C98">
      <w:pPr>
        <w:pStyle w:val="a3"/>
        <w:tabs>
          <w:tab w:val="clear" w:pos="9355"/>
          <w:tab w:val="right" w:pos="9639"/>
        </w:tabs>
        <w:ind w:left="-142"/>
        <w:rPr>
          <w:rFonts w:ascii="Tahoma" w:hAnsi="Tahoma" w:cs="Tahoma"/>
          <w:sz w:val="20"/>
          <w:szCs w:val="20"/>
          <w:lang w:val="en-US"/>
        </w:rPr>
      </w:pPr>
      <w:r w:rsidRPr="00361F0F">
        <w:rPr>
          <w:rFonts w:ascii="Tahoma" w:hAnsi="Tahoma" w:cs="Tahoma"/>
          <w:noProof/>
          <w:sz w:val="20"/>
          <w:szCs w:val="20"/>
          <w:lang w:val="uk-UA" w:eastAsia="uk-UA"/>
        </w:rPr>
        <w:drawing>
          <wp:inline distT="0" distB="0" distL="0" distR="0" wp14:anchorId="64F1F5A1" wp14:editId="31690658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481" w:rsidRPr="00361F0F" w:rsidRDefault="00A25481" w:rsidP="007765C8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F25D4" w:rsidP="007765C8">
      <w:pPr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«</w:t>
      </w:r>
      <w:r w:rsidR="00C17E06">
        <w:rPr>
          <w:rFonts w:ascii="Tahoma" w:hAnsi="Tahoma" w:cs="Tahoma"/>
          <w:sz w:val="20"/>
          <w:szCs w:val="20"/>
          <w:lang w:val="uk-UA"/>
        </w:rPr>
        <w:t>27</w:t>
      </w:r>
      <w:r w:rsidR="00D35821" w:rsidRPr="00361F0F">
        <w:rPr>
          <w:rFonts w:ascii="Tahoma" w:hAnsi="Tahoma" w:cs="Tahoma"/>
          <w:sz w:val="20"/>
          <w:szCs w:val="20"/>
          <w:lang w:val="uk-UA"/>
        </w:rPr>
        <w:t>»</w:t>
      </w:r>
      <w:r w:rsidR="00F8061A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C17E06">
        <w:rPr>
          <w:rFonts w:ascii="Tahoma" w:hAnsi="Tahoma" w:cs="Tahoma"/>
          <w:sz w:val="20"/>
          <w:szCs w:val="20"/>
          <w:lang w:val="uk-UA"/>
        </w:rPr>
        <w:t>лютого</w:t>
      </w:r>
      <w:r w:rsidR="000742B2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201</w:t>
      </w:r>
      <w:r w:rsidR="00C17E06">
        <w:rPr>
          <w:rFonts w:ascii="Tahoma" w:hAnsi="Tahoma" w:cs="Tahoma"/>
          <w:sz w:val="20"/>
          <w:szCs w:val="20"/>
          <w:lang w:val="uk-UA"/>
        </w:rPr>
        <w:t>8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1B59A1" w:rsidRPr="00361F0F" w:rsidRDefault="001B59A1" w:rsidP="007765C8">
      <w:pPr>
        <w:jc w:val="center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ОГОЛОШЕННЯ </w:t>
      </w:r>
      <w:r w:rsidR="00B63912">
        <w:rPr>
          <w:rFonts w:ascii="Tahoma" w:hAnsi="Tahoma" w:cs="Tahoma"/>
          <w:b/>
          <w:sz w:val="20"/>
          <w:szCs w:val="20"/>
          <w:lang w:val="uk-UA"/>
        </w:rPr>
        <w:t>№</w:t>
      </w:r>
      <w:r w:rsidR="00C17E06">
        <w:rPr>
          <w:rFonts w:ascii="Tahoma" w:hAnsi="Tahoma" w:cs="Tahoma"/>
          <w:b/>
          <w:sz w:val="20"/>
          <w:szCs w:val="20"/>
          <w:lang w:val="uk-UA"/>
        </w:rPr>
        <w:t>1</w:t>
      </w:r>
      <w:r w:rsidR="005B3B20">
        <w:rPr>
          <w:rFonts w:ascii="Tahoma" w:hAnsi="Tahoma" w:cs="Tahoma"/>
          <w:b/>
          <w:sz w:val="20"/>
          <w:szCs w:val="20"/>
          <w:lang w:val="uk-UA"/>
        </w:rPr>
        <w:t>5-</w:t>
      </w:r>
      <w:r w:rsidR="00996EA4">
        <w:rPr>
          <w:rFonts w:ascii="Tahoma" w:hAnsi="Tahoma" w:cs="Tahoma"/>
          <w:b/>
          <w:sz w:val="20"/>
          <w:szCs w:val="20"/>
          <w:lang w:val="uk-UA"/>
        </w:rPr>
        <w:t>Т-18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про проведення процедури закупівлі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(далі – «Оголошення»)</w:t>
      </w:r>
    </w:p>
    <w:p w:rsidR="001B59A1" w:rsidRPr="00361F0F" w:rsidRDefault="001B59A1" w:rsidP="007765C8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361F0F" w:rsidRDefault="00772B98" w:rsidP="007765C8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лагодійна організація "Всеукраїнська мережа люде</w:t>
      </w:r>
      <w:bookmarkStart w:id="0" w:name="_GoBack"/>
      <w:bookmarkEnd w:id="0"/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й, які живуть з ВІЛ/СНІД" (далі – </w:t>
      </w:r>
      <w:r w:rsidR="001B59A1" w:rsidRPr="00361F0F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31733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конкурсні торги</w:t>
      </w:r>
      <w:r w:rsidR="006F6E18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на</w:t>
      </w:r>
      <w:r w:rsidR="004E6C2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4E6C22" w:rsidRPr="00F14837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закупівлю</w:t>
      </w:r>
      <w:r w:rsidR="00C17E0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 п</w:t>
      </w:r>
      <w:r w:rsidR="00C17E06" w:rsidRPr="00C17E0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ослуг з медіа, BTL та PR-супроводу</w:t>
      </w:r>
      <w:r w:rsidR="000742B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. </w:t>
      </w:r>
    </w:p>
    <w:p w:rsidR="00C40EC8" w:rsidRPr="00361F0F" w:rsidRDefault="00C40EC8" w:rsidP="007765C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5B3B20" w:rsidRPr="005B3B20" w:rsidRDefault="005B3B20" w:rsidP="005B3B2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0"/>
          <w:szCs w:val="20"/>
          <w:lang w:val="uk-UA" w:eastAsia="uk-UA"/>
        </w:rPr>
      </w:pPr>
      <w:r w:rsidRPr="005B3B20">
        <w:rPr>
          <w:rFonts w:ascii="Tahoma" w:eastAsia="Tahoma" w:hAnsi="Tahoma" w:cs="Tahoma"/>
          <w:b/>
          <w:color w:val="000000"/>
          <w:sz w:val="20"/>
          <w:szCs w:val="20"/>
          <w:lang w:val="uk-UA" w:eastAsia="uk-UA"/>
        </w:rPr>
        <w:t>Опис позицій до закупівлі товарів / технічне завдання для робіт, послуг</w:t>
      </w:r>
    </w:p>
    <w:p w:rsidR="00F356D7" w:rsidRDefault="00F356D7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760"/>
        <w:gridCol w:w="8743"/>
      </w:tblGrid>
      <w:tr w:rsidR="00C17E06" w:rsidTr="00C17E06">
        <w:trPr>
          <w:trHeight w:val="127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87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Назва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послуг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або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робі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т</w:t>
            </w:r>
            <w:proofErr w:type="spellEnd"/>
            <w:proofErr w:type="gramEnd"/>
          </w:p>
        </w:tc>
      </w:tr>
      <w:tr w:rsidR="00C17E06" w:rsidTr="00C17E06">
        <w:trPr>
          <w:trHeight w:val="122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8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супровід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подій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проекті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Мережі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Акредитація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ЗМІ на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подію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ідготовка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прес-матеріалів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для ЗМІ,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надання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послуг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щодо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здійснення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медіа-моніторингу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ЗМІ за результатами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акцій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прес-конференцій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круглих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столів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інтерв’ю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інших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заходів</w:t>
            </w:r>
            <w:proofErr w:type="spellEnd"/>
          </w:p>
        </w:tc>
      </w:tr>
      <w:tr w:rsidR="00C17E06" w:rsidTr="00C17E0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8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Розробка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інформаційних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кампаній</w:t>
            </w:r>
            <w:proofErr w:type="spellEnd"/>
          </w:p>
        </w:tc>
      </w:tr>
      <w:tr w:rsidR="00C17E06" w:rsidTr="00C17E06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Надання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послуг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щодо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організації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акцій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прес-конференцій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круглих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столів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та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інших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заходів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чи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спеціальних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проектів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у ЗМІ  в рамках </w:t>
            </w: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р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ізних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проектів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Мережі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розробка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ідеї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месседжбокс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впровадження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робота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зі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спікерами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робота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зі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ЗМІ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щодо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медіависвітлення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C17E06" w:rsidTr="00C17E06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8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СММ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просування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проекті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C17E06" w:rsidTr="00C17E06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8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BTL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супровід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проектів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Мережі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(в тому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числі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виготовлення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інформаційних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та промо </w:t>
            </w: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матер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іалів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інформаційної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кампанії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пресс-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конференцій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круглих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столів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інших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заходів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що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реалізуються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Мережею)</w:t>
            </w:r>
          </w:p>
        </w:tc>
      </w:tr>
    </w:tbl>
    <w:p w:rsidR="005B3B20" w:rsidRPr="00C17E06" w:rsidRDefault="005B3B20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</w:rPr>
      </w:pPr>
    </w:p>
    <w:p w:rsidR="00F14837" w:rsidRPr="00996EA4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996EA4" w:rsidRDefault="00F14837" w:rsidP="00996EA4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uk-UA"/>
        </w:rPr>
      </w:pPr>
      <w:r w:rsidRPr="009835A1">
        <w:rPr>
          <w:rFonts w:ascii="Tahoma" w:hAnsi="Tahoma" w:cs="Tahoma"/>
          <w:b/>
          <w:sz w:val="20"/>
          <w:szCs w:val="20"/>
          <w:lang w:val="uk-UA"/>
        </w:rPr>
        <w:t>Термін постачання товарів, виконання робіт та надання послуг</w:t>
      </w:r>
      <w:r>
        <w:rPr>
          <w:rFonts w:ascii="Tahoma" w:hAnsi="Tahoma" w:cs="Tahoma"/>
          <w:b/>
          <w:sz w:val="20"/>
          <w:szCs w:val="20"/>
          <w:lang w:val="uk-UA"/>
        </w:rPr>
        <w:t xml:space="preserve">: </w:t>
      </w:r>
      <w:r w:rsidR="00884CEC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C17E06" w:rsidRPr="00C17E06">
        <w:rPr>
          <w:rFonts w:ascii="Tahoma" w:hAnsi="Tahoma" w:cs="Tahoma"/>
          <w:sz w:val="20"/>
          <w:szCs w:val="20"/>
          <w:lang w:val="uk-UA"/>
        </w:rPr>
        <w:t>березень</w:t>
      </w:r>
      <w:r w:rsidR="002358C7" w:rsidRPr="00C17E06">
        <w:rPr>
          <w:rFonts w:ascii="Tahoma" w:hAnsi="Tahoma" w:cs="Tahoma"/>
          <w:sz w:val="20"/>
          <w:szCs w:val="20"/>
          <w:lang w:val="uk-UA"/>
        </w:rPr>
        <w:t xml:space="preserve"> </w:t>
      </w:r>
      <w:r w:rsidR="005B3B20" w:rsidRPr="005B3B20">
        <w:rPr>
          <w:rFonts w:ascii="Tahoma" w:hAnsi="Tahoma" w:cs="Tahoma"/>
          <w:sz w:val="20"/>
          <w:szCs w:val="20"/>
          <w:lang w:val="uk-UA"/>
        </w:rPr>
        <w:t>2018 року по 3</w:t>
      </w:r>
      <w:r w:rsidR="00C17E06">
        <w:rPr>
          <w:rFonts w:ascii="Tahoma" w:hAnsi="Tahoma" w:cs="Tahoma"/>
          <w:sz w:val="20"/>
          <w:szCs w:val="20"/>
          <w:lang w:val="uk-UA"/>
        </w:rPr>
        <w:t>1</w:t>
      </w:r>
      <w:r w:rsidR="005B3B20" w:rsidRPr="005B3B20">
        <w:rPr>
          <w:rFonts w:ascii="Tahoma" w:hAnsi="Tahoma" w:cs="Tahoma"/>
          <w:sz w:val="20"/>
          <w:szCs w:val="20"/>
          <w:lang w:val="uk-UA"/>
        </w:rPr>
        <w:t xml:space="preserve"> грудня 2019 року</w:t>
      </w:r>
      <w:r w:rsidR="00C17E06">
        <w:rPr>
          <w:rFonts w:ascii="Tahoma" w:hAnsi="Tahoma" w:cs="Tahoma"/>
          <w:sz w:val="20"/>
          <w:szCs w:val="20"/>
          <w:lang w:val="uk-UA"/>
        </w:rPr>
        <w:t>.</w:t>
      </w:r>
    </w:p>
    <w:p w:rsidR="005B3B20" w:rsidRPr="00996EA4" w:rsidRDefault="005B3B20" w:rsidP="00996EA4">
      <w:pPr>
        <w:pStyle w:val="ab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</w:p>
    <w:p w:rsidR="001768AA" w:rsidRDefault="001768AA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40669E" w:rsidRDefault="0040669E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1768AA" w:rsidRPr="001768AA" w:rsidRDefault="001768AA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2552"/>
        <w:gridCol w:w="1984"/>
      </w:tblGrid>
      <w:tr w:rsidR="001D685C" w:rsidRPr="005B3B20" w:rsidTr="00570221">
        <w:trPr>
          <w:trHeight w:val="8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Обов’язкові кваліфікаційні вимоги до постачальника товарів або виконавця робіт та послуг</w:t>
            </w: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Документи, які підтверджують відповідність кваліфікаційним вимогам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Портфоліо</w:t>
            </w:r>
            <w:proofErr w:type="spellEnd"/>
          </w:p>
        </w:tc>
      </w:tr>
      <w:tr w:rsidR="001D685C" w:rsidRPr="00A60F47" w:rsidTr="00570221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Наявність досвіду розробки і реалізації медіа, соціальних та PR-кампаній соціального спрямування не менше 3 років</w:t>
            </w:r>
          </w:p>
        </w:tc>
        <w:tc>
          <w:tcPr>
            <w:tcW w:w="2552" w:type="dxa"/>
            <w:shd w:val="clear" w:color="auto" w:fill="auto"/>
          </w:tcPr>
          <w:p w:rsidR="001D685C" w:rsidRPr="005B3B20" w:rsidRDefault="001D685C" w:rsidP="00570221">
            <w:pPr>
              <w:spacing w:line="276" w:lineRule="auto"/>
              <w:contextualSpacing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  <w:tc>
          <w:tcPr>
            <w:tcW w:w="1984" w:type="dxa"/>
            <w:vMerge w:val="restart"/>
          </w:tcPr>
          <w:p w:rsidR="001D685C" w:rsidRPr="00A60F47" w:rsidRDefault="001D685C" w:rsidP="00570221">
            <w:pPr>
              <w:spacing w:line="276" w:lineRule="auto"/>
              <w:contextualSpacing/>
              <w:rPr>
                <w:rFonts w:ascii="Tahoma" w:hAnsi="Tahoma" w:cs="Tahoma"/>
                <w:color w:val="FF0000"/>
                <w:sz w:val="20"/>
                <w:szCs w:val="20"/>
                <w:lang w:val="uk-UA"/>
              </w:rPr>
            </w:pPr>
            <w:r w:rsidRPr="00A60F47">
              <w:rPr>
                <w:rFonts w:ascii="Tahoma" w:hAnsi="Tahoma" w:cs="Tahoma"/>
                <w:color w:val="FF0000"/>
                <w:sz w:val="20"/>
                <w:szCs w:val="20"/>
                <w:lang w:val="uk-UA"/>
              </w:rPr>
              <w:t xml:space="preserve">Надати </w:t>
            </w:r>
            <w:proofErr w:type="spellStart"/>
            <w:r w:rsidRPr="00A60F47">
              <w:rPr>
                <w:rFonts w:ascii="Tahoma" w:hAnsi="Tahoma" w:cs="Tahoma"/>
                <w:color w:val="FF0000"/>
                <w:sz w:val="20"/>
                <w:szCs w:val="20"/>
                <w:lang w:val="uk-UA"/>
              </w:rPr>
              <w:t>портфоліо</w:t>
            </w:r>
            <w:proofErr w:type="spellEnd"/>
            <w:r w:rsidRPr="00A60F47">
              <w:rPr>
                <w:rFonts w:ascii="Tahoma" w:hAnsi="Tahoma" w:cs="Tahoma"/>
                <w:color w:val="FF0000"/>
                <w:sz w:val="20"/>
                <w:szCs w:val="20"/>
                <w:lang w:val="uk-UA"/>
              </w:rPr>
              <w:t xml:space="preserve"> по виконаним проектам (на електронному носії, разом з </w:t>
            </w:r>
            <w:proofErr w:type="spellStart"/>
            <w:r w:rsidRPr="00A60F47">
              <w:rPr>
                <w:rFonts w:ascii="Tahoma" w:hAnsi="Tahoma" w:cs="Tahoma"/>
                <w:color w:val="FF0000"/>
                <w:sz w:val="20"/>
                <w:szCs w:val="20"/>
                <w:lang w:val="uk-UA"/>
              </w:rPr>
              <w:t>відсканованою</w:t>
            </w:r>
            <w:proofErr w:type="spellEnd"/>
            <w:r w:rsidRPr="00A60F47">
              <w:rPr>
                <w:rFonts w:ascii="Tahoma" w:hAnsi="Tahoma" w:cs="Tahoma"/>
                <w:color w:val="FF0000"/>
                <w:sz w:val="20"/>
                <w:szCs w:val="20"/>
                <w:lang w:val="uk-UA"/>
              </w:rPr>
              <w:t xml:space="preserve"> пропозицією, або роздрукувати)</w:t>
            </w:r>
          </w:p>
        </w:tc>
      </w:tr>
      <w:tr w:rsidR="001D685C" w:rsidTr="00570221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4677" w:type="dxa"/>
            <w:shd w:val="clear" w:color="auto" w:fill="auto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Наявність досвіду щодо просування сторінок організацій (бажано НУО) у соціальних Мережах: </w:t>
            </w:r>
            <w:proofErr w:type="spellStart"/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Фейсбук</w:t>
            </w:r>
            <w:proofErr w:type="spellEnd"/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Твіттер</w:t>
            </w:r>
            <w:proofErr w:type="spellEnd"/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Ютуб</w:t>
            </w:r>
            <w:proofErr w:type="spellEnd"/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 не менше 3 років</w:t>
            </w:r>
          </w:p>
        </w:tc>
        <w:tc>
          <w:tcPr>
            <w:tcW w:w="2552" w:type="dxa"/>
            <w:shd w:val="clear" w:color="auto" w:fill="auto"/>
          </w:tcPr>
          <w:p w:rsidR="001D685C" w:rsidRDefault="001D685C">
            <w:r w:rsidRPr="0017646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  <w:tc>
          <w:tcPr>
            <w:tcW w:w="1984" w:type="dxa"/>
            <w:vMerge/>
          </w:tcPr>
          <w:p w:rsidR="001D685C" w:rsidRDefault="001D685C" w:rsidP="00570221">
            <w:pP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</w:p>
        </w:tc>
      </w:tr>
      <w:tr w:rsidR="001D685C" w:rsidTr="00570221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4677" w:type="dxa"/>
            <w:shd w:val="clear" w:color="auto" w:fill="auto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Наявність досвіду організації і проведення акцій, прес-конференцій, круглих столів, інтерв’ю та інших заходів із залученням медіа та експертного середовища, що відносяться до впровадження кампаній не менше 3 років</w:t>
            </w:r>
          </w:p>
        </w:tc>
        <w:tc>
          <w:tcPr>
            <w:tcW w:w="2552" w:type="dxa"/>
            <w:shd w:val="clear" w:color="auto" w:fill="auto"/>
          </w:tcPr>
          <w:p w:rsidR="001D685C" w:rsidRDefault="001D685C">
            <w:r w:rsidRPr="0017646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  <w:tc>
          <w:tcPr>
            <w:tcW w:w="1984" w:type="dxa"/>
            <w:vMerge/>
          </w:tcPr>
          <w:p w:rsidR="001D685C" w:rsidRDefault="001D685C" w:rsidP="00570221">
            <w:pP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</w:p>
        </w:tc>
      </w:tr>
      <w:tr w:rsidR="001D685C" w:rsidTr="00570221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4.</w:t>
            </w:r>
          </w:p>
        </w:tc>
        <w:tc>
          <w:tcPr>
            <w:tcW w:w="4677" w:type="dxa"/>
            <w:shd w:val="clear" w:color="auto" w:fill="auto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Постачальник послуг надає послуги за потребою, згідно окремих замовлень (технічних завдань) від Замовника</w:t>
            </w:r>
          </w:p>
        </w:tc>
        <w:tc>
          <w:tcPr>
            <w:tcW w:w="2552" w:type="dxa"/>
            <w:shd w:val="clear" w:color="auto" w:fill="auto"/>
          </w:tcPr>
          <w:p w:rsidR="001D685C" w:rsidRDefault="001D685C">
            <w:r w:rsidRPr="0017646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  <w:tc>
          <w:tcPr>
            <w:tcW w:w="1984" w:type="dxa"/>
          </w:tcPr>
          <w:p w:rsidR="001D685C" w:rsidRDefault="001D685C" w:rsidP="00570221">
            <w:pP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1D685C" w:rsidTr="00570221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5.</w:t>
            </w:r>
          </w:p>
        </w:tc>
        <w:tc>
          <w:tcPr>
            <w:tcW w:w="4677" w:type="dxa"/>
            <w:shd w:val="clear" w:color="auto" w:fill="auto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Наявність кваліфікованих спеціалістів із досвідом роботи в аналогічній галузі не менше 3 років, яких постачальник послуг може залучити для надання послуг у кількості не менше 2-х осіб.</w:t>
            </w:r>
          </w:p>
        </w:tc>
        <w:tc>
          <w:tcPr>
            <w:tcW w:w="2552" w:type="dxa"/>
            <w:shd w:val="clear" w:color="auto" w:fill="auto"/>
          </w:tcPr>
          <w:p w:rsidR="001D685C" w:rsidRDefault="001D685C">
            <w:r w:rsidRPr="0017646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  <w:tc>
          <w:tcPr>
            <w:tcW w:w="1984" w:type="dxa"/>
          </w:tcPr>
          <w:p w:rsidR="001D685C" w:rsidRDefault="001D685C" w:rsidP="00570221">
            <w:pP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1D685C" w:rsidTr="005702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09"/>
                <w:tab w:val="left" w:pos="4040"/>
                <w:tab w:val="left" w:pos="5460"/>
                <w:tab w:val="left" w:pos="6100"/>
                <w:tab w:val="left" w:pos="7780"/>
                <w:tab w:val="left" w:pos="9280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40669E" w:rsidRDefault="001D685C" w:rsidP="00570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0669E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Звертаємо Вашу увагу, що умовою є подання конкурсних пропозицій без ПДВ.</w:t>
            </w:r>
          </w:p>
          <w:p w:rsidR="001D685C" w:rsidRPr="0040669E" w:rsidRDefault="001D685C" w:rsidP="00570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0669E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Фінансування закупівлі можливе за рахунок коштів міжнародної технічної допомоги, що матиме наслідком звільнення постачання послуг від оподаткування ПДВ на підставі п.197.11 ст.197 ПК України.</w:t>
            </w:r>
          </w:p>
          <w:p w:rsidR="001D685C" w:rsidRPr="0040669E" w:rsidRDefault="001D685C" w:rsidP="00570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0669E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Default="001D685C">
            <w:r w:rsidRPr="0017646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Default="001D685C" w:rsidP="00570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1D685C" w:rsidTr="005702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09"/>
                <w:tab w:val="left" w:pos="4040"/>
                <w:tab w:val="left" w:pos="5460"/>
                <w:tab w:val="left" w:pos="6100"/>
                <w:tab w:val="left" w:pos="7780"/>
                <w:tab w:val="left" w:pos="9280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7</w:t>
            </w: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70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Право на здійснення підприємницької діяльності за законодавством України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85C" w:rsidRPr="005B3B20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Реєстраційні документи Учасника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Default="001D685C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5B3B20" w:rsidRPr="009835A1" w:rsidRDefault="005B3B20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4395"/>
      </w:tblGrid>
      <w:tr w:rsidR="005B3B20" w:rsidRPr="005B3B20" w:rsidTr="005B3B2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Обов’язкові технічні вимоги до предмета закупівлі</w:t>
            </w: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footnoteReference w:id="2"/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Документи, які підтверджують відповідність технічним вимогам</w:t>
            </w:r>
          </w:p>
        </w:tc>
      </w:tr>
      <w:tr w:rsidR="001D685C" w:rsidRPr="005B3B20" w:rsidTr="00A34B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26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C17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26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Оплата послуг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здійснюється після надання послуг у повному обсязі та підписання Акта про надання послуг. Авансовий платіж у розмірі не більше 50% можливий у разі, якщо загальний бюджет перевищує 30 000 грн.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Default="001D685C">
            <w:r w:rsidRPr="00422B7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</w:tr>
      <w:tr w:rsidR="001D685C" w:rsidRPr="005B3B20" w:rsidTr="005B3B2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Pr="005B3B20" w:rsidRDefault="001D685C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Безготівковий розрахунок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85C" w:rsidRDefault="001D685C">
            <w:r w:rsidRPr="00422B76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</w:tr>
    </w:tbl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C17E06" w:rsidRPr="001768AA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F14837" w:rsidRPr="001768AA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Критерії оцінки Конкурсних пропозицій, які відповідатимуть обов’язковим технічним та кваліфікаційним вимогам, та їх вагові коефіцієнти:</w:t>
      </w: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4073"/>
        <w:gridCol w:w="1140"/>
        <w:gridCol w:w="3827"/>
      </w:tblGrid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Критерій оцінки</w:t>
            </w: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footnoteReference w:id="3"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Ваговий коефіцієнт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Документи, які підтверджують відповідність критерію</w:t>
            </w:r>
          </w:p>
        </w:tc>
      </w:tr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Вартість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3</w:t>
            </w:r>
            <w:r w:rsidR="005B3B20"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3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Конкурсна пропозиція</w:t>
            </w:r>
          </w:p>
        </w:tc>
      </w:tr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Портфоліо</w:t>
            </w:r>
            <w:proofErr w:type="spellEnd"/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1D685C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проектів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7</w:t>
            </w:r>
            <w:r w:rsidR="005B3B20"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3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Конкурсна пропозиція</w:t>
            </w:r>
          </w:p>
        </w:tc>
      </w:tr>
    </w:tbl>
    <w:p w:rsidR="001E0A49" w:rsidRPr="005B3B20" w:rsidRDefault="001E0A49" w:rsidP="00D43183">
      <w:pPr>
        <w:pStyle w:val="ab"/>
        <w:spacing w:before="0" w:beforeAutospacing="0" w:after="0" w:afterAutospacing="0"/>
        <w:ind w:left="567"/>
        <w:rPr>
          <w:rFonts w:ascii="Tahoma" w:hAnsi="Tahoma" w:cs="Tahoma"/>
          <w:b/>
          <w:sz w:val="20"/>
          <w:szCs w:val="20"/>
          <w:lang w:val="uk-UA"/>
        </w:rPr>
      </w:pPr>
    </w:p>
    <w:p w:rsidR="00D43183" w:rsidRPr="00361F0F" w:rsidRDefault="00D43183" w:rsidP="001E0A49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D960FB" w:rsidP="007765C8">
      <w:pPr>
        <w:jc w:val="both"/>
        <w:rPr>
          <w:rFonts w:ascii="Tahoma" w:hAnsi="Tahoma" w:cs="Tahoma"/>
          <w:b/>
          <w:color w:val="FF0000"/>
          <w:sz w:val="20"/>
          <w:szCs w:val="20"/>
          <w:lang w:val="uk-UA"/>
        </w:rPr>
      </w:pP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* До оцінювання згідно критеріям оцінки допускаються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ної пропозиції учасника 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 xml:space="preserve">призводить до автоматичної повної дискваліфікації такої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ної пропозиції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.</w:t>
      </w:r>
    </w:p>
    <w:p w:rsidR="00D960FB" w:rsidRPr="00361F0F" w:rsidRDefault="00D960FB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56486C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C5860" w:rsidRPr="00361F0F" w:rsidRDefault="001C5860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2B7EEB" w:rsidRPr="00361F0F" w:rsidRDefault="002B7EEB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361F0F" w:rsidRDefault="00317332" w:rsidP="007765C8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КОНКУРСНА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 ПРОПОЗИЦІЯ МАЄ </w:t>
      </w:r>
      <w:r w:rsidR="00CE5B49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361F0F" w:rsidRDefault="0087454E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35584" w:rsidRPr="00C17E06" w:rsidRDefault="00135584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>Заповнена</w:t>
      </w:r>
      <w:r w:rsidR="00F14837" w:rsidRPr="00C17E06">
        <w:rPr>
          <w:rFonts w:ascii="Tahoma" w:hAnsi="Tahoma" w:cs="Tahoma"/>
          <w:sz w:val="20"/>
          <w:szCs w:val="20"/>
          <w:lang w:val="uk-UA"/>
        </w:rPr>
        <w:t xml:space="preserve"> форма</w:t>
      </w:r>
      <w:r w:rsidR="005B3B20" w:rsidRPr="00C17E06">
        <w:rPr>
          <w:rFonts w:ascii="Tahoma" w:hAnsi="Tahoma" w:cs="Tahoma"/>
          <w:sz w:val="20"/>
          <w:szCs w:val="20"/>
          <w:lang w:val="uk-UA"/>
        </w:rPr>
        <w:t xml:space="preserve"> </w:t>
      </w:r>
      <w:r w:rsidR="00317332" w:rsidRPr="00C17E06">
        <w:rPr>
          <w:rFonts w:ascii="Tahoma" w:hAnsi="Tahoma" w:cs="Tahoma"/>
          <w:sz w:val="20"/>
          <w:szCs w:val="20"/>
          <w:lang w:val="uk-UA"/>
        </w:rPr>
        <w:t xml:space="preserve">конкурсної </w:t>
      </w:r>
      <w:r w:rsidR="005B3B20" w:rsidRPr="00C17E06">
        <w:rPr>
          <w:rFonts w:ascii="Tahoma" w:hAnsi="Tahoma" w:cs="Tahoma"/>
          <w:sz w:val="20"/>
          <w:szCs w:val="20"/>
          <w:lang w:val="uk-UA"/>
        </w:rPr>
        <w:t>пропозиції</w:t>
      </w:r>
      <w:r w:rsidRPr="00C17E06">
        <w:rPr>
          <w:rFonts w:ascii="Tahoma" w:hAnsi="Tahoma" w:cs="Tahoma"/>
          <w:sz w:val="20"/>
          <w:szCs w:val="20"/>
          <w:lang w:val="uk-UA"/>
        </w:rPr>
        <w:t xml:space="preserve"> (форма додається).</w:t>
      </w:r>
    </w:p>
    <w:p w:rsidR="00725134" w:rsidRPr="00C17E06" w:rsidRDefault="00F14837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Усі документи, які вимагаються </w:t>
      </w:r>
      <w:r w:rsidR="00C17E06" w:rsidRPr="00C17E06">
        <w:rPr>
          <w:rFonts w:ascii="Tahoma" w:hAnsi="Tahoma" w:cs="Tahoma"/>
          <w:sz w:val="20"/>
          <w:szCs w:val="20"/>
          <w:lang w:val="uk-UA"/>
        </w:rPr>
        <w:t>формою конкурсної пропозиції</w:t>
      </w:r>
      <w:r w:rsidR="00725134" w:rsidRPr="00C17E06">
        <w:rPr>
          <w:rFonts w:ascii="Tahoma" w:hAnsi="Tahoma" w:cs="Tahoma"/>
          <w:sz w:val="20"/>
          <w:szCs w:val="20"/>
          <w:lang w:val="uk-UA"/>
        </w:rPr>
        <w:t>.</w:t>
      </w:r>
    </w:p>
    <w:p w:rsidR="00C17E06" w:rsidRPr="00C17E06" w:rsidRDefault="00C17E06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proofErr w:type="spellStart"/>
      <w:r w:rsidRPr="00C17E06">
        <w:rPr>
          <w:rFonts w:ascii="Tahoma" w:hAnsi="Tahoma" w:cs="Tahoma"/>
          <w:color w:val="FF0000"/>
          <w:sz w:val="20"/>
          <w:szCs w:val="20"/>
          <w:lang w:val="uk-UA"/>
        </w:rPr>
        <w:t>Відсканований</w:t>
      </w:r>
      <w:proofErr w:type="spellEnd"/>
      <w:r w:rsidRPr="00C17E06">
        <w:rPr>
          <w:rFonts w:ascii="Tahoma" w:hAnsi="Tahoma" w:cs="Tahoma"/>
          <w:color w:val="FF0000"/>
          <w:sz w:val="20"/>
          <w:szCs w:val="20"/>
          <w:lang w:val="uk-UA"/>
        </w:rPr>
        <w:t xml:space="preserve"> вміст конверту на будь-якому електронному носії  </w:t>
      </w:r>
    </w:p>
    <w:p w:rsidR="00AB02CD" w:rsidRPr="00361F0F" w:rsidRDefault="00AB02CD" w:rsidP="007765C8">
      <w:pPr>
        <w:pStyle w:val="af1"/>
        <w:autoSpaceDE/>
        <w:spacing w:after="0"/>
        <w:ind w:left="567"/>
        <w:rPr>
          <w:rFonts w:ascii="Tahoma" w:hAnsi="Tahoma" w:cs="Tahoma"/>
          <w:lang w:val="uk-UA"/>
        </w:rPr>
      </w:pPr>
    </w:p>
    <w:p w:rsidR="00725134" w:rsidRPr="00361F0F" w:rsidRDefault="00725134" w:rsidP="00725134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Додаткова інформація</w:t>
      </w:r>
    </w:p>
    <w:p w:rsidR="00725134" w:rsidRPr="00361F0F" w:rsidRDefault="00725134" w:rsidP="0072513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БО «Мережа» залишає за собою право в момент визначення переможця тендеру рекомендувати переможцю збільшити або зменшити обсяг послуг з відповідною зміною ціни або інших умов тендерної пропозиції.</w:t>
      </w:r>
    </w:p>
    <w:p w:rsidR="00725134" w:rsidRPr="00361F0F" w:rsidRDefault="00725134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361F0F">
        <w:rPr>
          <w:rFonts w:ascii="Tahoma" w:hAnsi="Tahoma" w:cs="Tahoma"/>
          <w:sz w:val="20"/>
          <w:szCs w:val="20"/>
          <w:lang w:val="uk-UA"/>
        </w:rPr>
        <w:t>339-92-39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361F0F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361F0F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>70</w:t>
      </w:r>
      <w:r w:rsidR="00B63912">
        <w:rPr>
          <w:rFonts w:ascii="Tahoma" w:hAnsi="Tahoma" w:cs="Tahoma"/>
          <w:sz w:val="20"/>
          <w:szCs w:val="20"/>
          <w:lang w:val="uk-UA"/>
        </w:rPr>
        <w:t>7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r w:rsidR="00135584">
        <w:rPr>
          <w:rFonts w:ascii="Tahoma" w:hAnsi="Tahoma" w:cs="Tahoma"/>
          <w:sz w:val="20"/>
          <w:szCs w:val="20"/>
          <w:lang w:val="uk-UA"/>
        </w:rPr>
        <w:t>Кременя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Артем</w:t>
      </w:r>
      <w:r w:rsidR="00135584">
        <w:rPr>
          <w:rFonts w:ascii="Tahoma" w:hAnsi="Tahoma" w:cs="Tahoma"/>
          <w:sz w:val="20"/>
          <w:szCs w:val="20"/>
          <w:lang w:val="uk-UA"/>
        </w:rPr>
        <w:t>а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е-mail: </w:t>
      </w:r>
      <w:r w:rsidR="00AC4D9E">
        <w:rPr>
          <w:rStyle w:val="ad"/>
          <w:rFonts w:ascii="Tahoma" w:hAnsi="Tahoma" w:cs="Tahoma"/>
          <w:sz w:val="20"/>
          <w:szCs w:val="20"/>
          <w:lang w:val="uk-UA"/>
        </w:rPr>
        <w:t>a.</w:t>
      </w:r>
      <w:proofErr w:type="spellStart"/>
      <w:r w:rsidR="00AC4D9E">
        <w:rPr>
          <w:rStyle w:val="ad"/>
          <w:rFonts w:ascii="Tahoma" w:hAnsi="Tahoma" w:cs="Tahoma"/>
          <w:sz w:val="20"/>
          <w:szCs w:val="20"/>
          <w:lang w:val="en-US"/>
        </w:rPr>
        <w:t>kremen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.</w:t>
      </w:r>
    </w:p>
    <w:p w:rsidR="00CC7379" w:rsidRPr="00361F0F" w:rsidRDefault="00CC7379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a.kremen</w:t>
      </w:r>
      <w:proofErr w:type="spellEnd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361F0F">
          <w:rPr>
            <w:rStyle w:val="ad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AC4D9E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друкованому вигляді: на адресу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БО «Всеукраїнська мережа ЛЖВ» вул. </w:t>
      </w:r>
      <w:proofErr w:type="spellStart"/>
      <w:r w:rsidR="001B59A1" w:rsidRPr="00361F0F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361F0F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</w:t>
      </w:r>
      <w:r w:rsidR="00317332">
        <w:rPr>
          <w:rFonts w:ascii="Tahoma" w:hAnsi="Tahoma" w:cs="Tahoma"/>
          <w:b/>
          <w:sz w:val="20"/>
          <w:szCs w:val="20"/>
          <w:lang w:val="uk-UA"/>
        </w:rPr>
        <w:t>«</w:t>
      </w:r>
      <w:r w:rsidR="00C17E06">
        <w:rPr>
          <w:rFonts w:ascii="Tahoma" w:hAnsi="Tahoma" w:cs="Tahoma"/>
          <w:b/>
          <w:sz w:val="20"/>
          <w:szCs w:val="20"/>
          <w:lang w:val="uk-UA"/>
        </w:rPr>
        <w:t>15-Т-18 З</w:t>
      </w:r>
      <w:r w:rsidR="00C17E06" w:rsidRPr="00F14837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акупівл</w:t>
      </w:r>
      <w:r w:rsidR="00C17E0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я п</w:t>
      </w:r>
      <w:r w:rsidR="00C17E06" w:rsidRPr="00C17E0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ослуг з медіа, BTL та PR-супроводу</w:t>
      </w:r>
      <w:r w:rsidR="00AC4D9E" w:rsidRPr="00F14837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»</w:t>
      </w:r>
    </w:p>
    <w:p w:rsidR="00940896" w:rsidRPr="00361F0F" w:rsidRDefault="00940896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361F0F" w:rsidRDefault="00DF5CF2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пропозицію, мають бути обов’язково завіреними підписом учасника, а якщ</w:t>
      </w:r>
      <w:r w:rsidR="00EF717A">
        <w:rPr>
          <w:rFonts w:ascii="Tahoma" w:hAnsi="Tahoma" w:cs="Tahoma"/>
          <w:sz w:val="20"/>
          <w:szCs w:val="20"/>
          <w:lang w:val="uk-UA"/>
        </w:rPr>
        <w:t>о учасником є юридична особа, та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печаткою та підписом уповноваженої особи. До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lastRenderedPageBreak/>
        <w:t xml:space="preserve">Відповідальність за достовірність наданої інформації в своїй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361F0F">
        <w:rPr>
          <w:rFonts w:ascii="Tahoma" w:hAnsi="Tahoma" w:cs="Tahoma"/>
          <w:sz w:val="20"/>
          <w:szCs w:val="20"/>
          <w:lang w:val="uk-UA"/>
        </w:rPr>
        <w:t>ц</w:t>
      </w:r>
      <w:r w:rsidR="00100E7D" w:rsidRPr="00361F0F">
        <w:rPr>
          <w:rFonts w:ascii="Tahoma" w:hAnsi="Tahoma" w:cs="Tahoma"/>
          <w:sz w:val="20"/>
          <w:szCs w:val="20"/>
          <w:lang w:val="uk-UA"/>
        </w:rPr>
        <w:t xml:space="preserve">ії повинен становити не менше </w:t>
      </w:r>
      <w:r w:rsidR="00AC4D9E">
        <w:rPr>
          <w:rFonts w:ascii="Tahoma" w:hAnsi="Tahoma" w:cs="Tahoma"/>
          <w:sz w:val="20"/>
          <w:szCs w:val="20"/>
          <w:lang w:val="uk-UA"/>
        </w:rPr>
        <w:t>6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0 календарних днів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з дати 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подання пропозиції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361F0F" w:rsidRDefault="00F356D7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C17E06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3. Маркування: </w:t>
      </w:r>
      <w:r w:rsidRPr="00C17E06">
        <w:rPr>
          <w:rFonts w:ascii="Tahoma" w:hAnsi="Tahoma" w:cs="Tahoma"/>
          <w:b/>
          <w:sz w:val="20"/>
          <w:szCs w:val="20"/>
          <w:lang w:val="uk-UA"/>
        </w:rPr>
        <w:t xml:space="preserve">«НЕ РОЗКРИВАТИ ДО </w:t>
      </w:r>
      <w:r w:rsidR="00C17E06" w:rsidRPr="00C17E06">
        <w:rPr>
          <w:rFonts w:ascii="Tahoma" w:hAnsi="Tahoma" w:cs="Tahoma"/>
          <w:b/>
          <w:sz w:val="20"/>
          <w:szCs w:val="20"/>
          <w:lang w:val="uk-UA"/>
        </w:rPr>
        <w:t>21</w:t>
      </w:r>
      <w:r w:rsidR="00317332" w:rsidRPr="00C17E06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C17E06" w:rsidRPr="00C17E06">
        <w:rPr>
          <w:rFonts w:ascii="Tahoma" w:hAnsi="Tahoma" w:cs="Tahoma"/>
          <w:b/>
          <w:sz w:val="20"/>
          <w:szCs w:val="20"/>
          <w:lang w:val="uk-UA"/>
        </w:rPr>
        <w:t>березня</w:t>
      </w:r>
      <w:r w:rsidR="00D43183" w:rsidRPr="00C17E06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Pr="00C17E06">
        <w:rPr>
          <w:rFonts w:ascii="Tahoma" w:hAnsi="Tahoma" w:cs="Tahoma"/>
          <w:b/>
          <w:sz w:val="20"/>
          <w:szCs w:val="20"/>
          <w:lang w:val="uk-UA"/>
        </w:rPr>
        <w:t>201</w:t>
      </w:r>
      <w:r w:rsidR="00513EDB" w:rsidRPr="00C17E06">
        <w:rPr>
          <w:rFonts w:ascii="Tahoma" w:hAnsi="Tahoma" w:cs="Tahoma"/>
          <w:b/>
          <w:sz w:val="20"/>
          <w:szCs w:val="20"/>
          <w:lang w:val="uk-UA"/>
        </w:rPr>
        <w:t>8</w:t>
      </w:r>
      <w:r w:rsidRPr="00C17E06">
        <w:rPr>
          <w:rFonts w:ascii="Tahoma" w:hAnsi="Tahoma" w:cs="Tahoma"/>
          <w:b/>
          <w:sz w:val="20"/>
          <w:szCs w:val="20"/>
          <w:lang w:val="uk-UA"/>
        </w:rPr>
        <w:t xml:space="preserve"> року, 1</w:t>
      </w:r>
      <w:r w:rsidR="00725134" w:rsidRPr="00C17E06">
        <w:rPr>
          <w:rFonts w:ascii="Tahoma" w:hAnsi="Tahoma" w:cs="Tahoma"/>
          <w:b/>
          <w:sz w:val="20"/>
          <w:szCs w:val="20"/>
          <w:lang w:val="uk-UA"/>
        </w:rPr>
        <w:t>5</w:t>
      </w:r>
      <w:r w:rsidRPr="00C17E06">
        <w:rPr>
          <w:rFonts w:ascii="Tahoma" w:hAnsi="Tahoma" w:cs="Tahoma"/>
          <w:b/>
          <w:sz w:val="20"/>
          <w:szCs w:val="20"/>
          <w:lang w:val="uk-UA"/>
        </w:rPr>
        <w:t>:00 год.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 w:rsidRPr="00C17E06">
        <w:rPr>
          <w:rFonts w:ascii="Tahoma" w:hAnsi="Tahoma" w:cs="Tahoma"/>
          <w:sz w:val="20"/>
          <w:szCs w:val="20"/>
          <w:lang w:val="uk-UA"/>
        </w:rPr>
        <w:t>Конкурс</w:t>
      </w:r>
      <w:r w:rsidRPr="00C17E06">
        <w:rPr>
          <w:rFonts w:ascii="Tahoma" w:hAnsi="Tahoma" w:cs="Tahoma"/>
          <w:sz w:val="20"/>
          <w:szCs w:val="20"/>
          <w:lang w:val="uk-UA"/>
        </w:rPr>
        <w:t>на пропозиція надійшла після спливу кінцевого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терміну приймання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361F0F" w:rsidRDefault="00285DE4" w:rsidP="007765C8">
      <w:pPr>
        <w:pStyle w:val="af6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361F0F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буде здійснюватися за рахунок грантів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Глобального Фонду (</w:t>
      </w:r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Постанова КМУ №284 від 17 квітня 2013 року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субгрантів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) Глобального фонду для боротьби із 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СНІДом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, туберкульозом та малярією в Україні»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)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або </w:t>
      </w:r>
      <w:r w:rsidR="000B3E17">
        <w:rPr>
          <w:rFonts w:ascii="Tahoma" w:hAnsi="Tahoma" w:cs="Tahoma"/>
          <w:sz w:val="20"/>
          <w:szCs w:val="20"/>
          <w:lang w:val="uk-UA"/>
        </w:rPr>
        <w:t>проектів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а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)</w:t>
      </w:r>
      <w:r w:rsidR="004766F0" w:rsidRPr="00361F0F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317332" w:rsidRDefault="00317332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361F0F" w:rsidRDefault="001B59A1" w:rsidP="007765C8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Pr="00513EDB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21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» 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березня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513EDB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року, до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4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:0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 за київським часом.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361F0F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884CEC" w:rsidRDefault="00D43183" w:rsidP="007765C8">
      <w:pPr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21</w:t>
      </w:r>
      <w:r w:rsidR="00AC4D9E" w:rsidRPr="00884CEC">
        <w:rPr>
          <w:rFonts w:ascii="Tahoma" w:hAnsi="Tahoma" w:cs="Tahoma"/>
          <w:color w:val="FF0000"/>
          <w:sz w:val="20"/>
          <w:szCs w:val="20"/>
          <w:lang w:val="uk-UA"/>
        </w:rPr>
        <w:t>»</w:t>
      </w:r>
      <w:r w:rsidR="00F1483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березня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513EDB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>, 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5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: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</w:t>
      </w:r>
      <w:r w:rsidR="001B59A1" w:rsidRPr="00884CEC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 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за київським часом за адресою: 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Україна, 04080, м. Київ,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br/>
        <w:t xml:space="preserve"> </w:t>
      </w:r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Межигірська</w:t>
      </w:r>
      <w:proofErr w:type="spellEnd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, 87-А</w:t>
      </w:r>
      <w:r w:rsidR="0058673D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.</w:t>
      </w:r>
    </w:p>
    <w:p w:rsidR="00940896" w:rsidRPr="00884CEC" w:rsidRDefault="00940896" w:rsidP="007765C8">
      <w:pPr>
        <w:ind w:firstLine="426"/>
        <w:jc w:val="both"/>
        <w:rPr>
          <w:rFonts w:ascii="Tahoma" w:hAnsi="Tahoma" w:cs="Tahoma"/>
          <w:color w:val="FF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361F0F">
          <w:rPr>
            <w:rStyle w:val="ad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361F0F" w:rsidRDefault="0044189D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lastRenderedPageBreak/>
        <w:t xml:space="preserve">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Default="002F17C7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Pr="002F17C7" w:rsidRDefault="002F17C7" w:rsidP="002F17C7">
      <w:pPr>
        <w:jc w:val="right"/>
        <w:rPr>
          <w:rFonts w:ascii="Tahoma" w:hAnsi="Tahoma" w:cs="Tahoma"/>
          <w:b/>
          <w:color w:val="000000"/>
          <w:spacing w:val="-4"/>
          <w:sz w:val="22"/>
          <w:szCs w:val="22"/>
          <w:lang w:val="uk-UA"/>
        </w:rPr>
      </w:pPr>
    </w:p>
    <w:p w:rsidR="002F17C7" w:rsidRPr="00361F0F" w:rsidRDefault="002F17C7" w:rsidP="00A642DB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2F17C7" w:rsidRPr="00361F0F" w:rsidSect="00BE51E4"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ED0" w:rsidRDefault="00226ED0">
      <w:r>
        <w:separator/>
      </w:r>
    </w:p>
  </w:endnote>
  <w:endnote w:type="continuationSeparator" w:id="0">
    <w:p w:rsidR="00226ED0" w:rsidRDefault="0022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ED0" w:rsidRDefault="00226ED0">
      <w:r>
        <w:separator/>
      </w:r>
    </w:p>
  </w:footnote>
  <w:footnote w:type="continuationSeparator" w:id="0">
    <w:p w:rsidR="00226ED0" w:rsidRDefault="00226ED0">
      <w:r>
        <w:continuationSeparator/>
      </w:r>
    </w:p>
  </w:footnote>
  <w:footnote w:id="1">
    <w:p w:rsidR="001D685C" w:rsidRPr="00B1069A" w:rsidRDefault="001D685C" w:rsidP="001D685C">
      <w:pPr>
        <w:rPr>
          <w:lang w:val="uk-UA"/>
        </w:rPr>
      </w:pPr>
    </w:p>
  </w:footnote>
  <w:footnote w:id="2">
    <w:p w:rsidR="00226ED0" w:rsidRPr="005B3B20" w:rsidRDefault="00226ED0" w:rsidP="005B3B20">
      <w:pPr>
        <w:rPr>
          <w:lang w:val="uk-UA"/>
        </w:rPr>
      </w:pPr>
    </w:p>
  </w:footnote>
  <w:footnote w:id="3">
    <w:p w:rsidR="00226ED0" w:rsidRDefault="00226ED0" w:rsidP="005B3B20"/>
    <w:p w:rsidR="00226ED0" w:rsidRDefault="00226ED0" w:rsidP="005B3B20"/>
    <w:p w:rsidR="00226ED0" w:rsidRDefault="00226ED0" w:rsidP="005B3B20"/>
    <w:p w:rsidR="00226ED0" w:rsidRDefault="00226ED0" w:rsidP="005B3B20"/>
    <w:p w:rsidR="00226ED0" w:rsidRDefault="00226ED0" w:rsidP="005B3B20"/>
    <w:p w:rsidR="00226ED0" w:rsidRDefault="00226ED0" w:rsidP="005B3B20"/>
    <w:p w:rsidR="00226ED0" w:rsidRDefault="00226ED0" w:rsidP="005B3B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3E1"/>
    <w:multiLevelType w:val="hybridMultilevel"/>
    <w:tmpl w:val="D40E9B0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7AC"/>
    <w:multiLevelType w:val="multilevel"/>
    <w:tmpl w:val="1F2C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4525EBD"/>
    <w:multiLevelType w:val="hybridMultilevel"/>
    <w:tmpl w:val="5E4AB448"/>
    <w:lvl w:ilvl="0" w:tplc="3146B1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07468CF"/>
    <w:multiLevelType w:val="hybridMultilevel"/>
    <w:tmpl w:val="D2EAE760"/>
    <w:lvl w:ilvl="0" w:tplc="B5FAD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66BE"/>
    <w:multiLevelType w:val="hybridMultilevel"/>
    <w:tmpl w:val="A9EE7F96"/>
    <w:lvl w:ilvl="0" w:tplc="7E0E59C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D5413"/>
    <w:multiLevelType w:val="hybridMultilevel"/>
    <w:tmpl w:val="DE449112"/>
    <w:lvl w:ilvl="0" w:tplc="B54EE9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E6268"/>
    <w:multiLevelType w:val="multilevel"/>
    <w:tmpl w:val="DEF4F0D2"/>
    <w:lvl w:ilvl="0">
      <w:start w:val="1"/>
      <w:numFmt w:val="bullet"/>
      <w:lvlText w:val="●"/>
      <w:lvlJc w:val="left"/>
      <w:pPr>
        <w:ind w:left="502" w:firstLine="142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19C023C7"/>
    <w:multiLevelType w:val="hybridMultilevel"/>
    <w:tmpl w:val="D13A4D74"/>
    <w:lvl w:ilvl="0" w:tplc="5E38F9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1797"/>
    <w:multiLevelType w:val="multilevel"/>
    <w:tmpl w:val="4AE4A56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>
    <w:nsid w:val="1FF827D0"/>
    <w:multiLevelType w:val="hybridMultilevel"/>
    <w:tmpl w:val="5D5AD6FE"/>
    <w:lvl w:ilvl="0" w:tplc="1576A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76FCE"/>
    <w:multiLevelType w:val="hybridMultilevel"/>
    <w:tmpl w:val="B8A88084"/>
    <w:lvl w:ilvl="0" w:tplc="D124E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11934"/>
    <w:multiLevelType w:val="hybridMultilevel"/>
    <w:tmpl w:val="89B0B1B8"/>
    <w:lvl w:ilvl="0" w:tplc="11A66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575BE3"/>
    <w:multiLevelType w:val="hybridMultilevel"/>
    <w:tmpl w:val="5C688792"/>
    <w:lvl w:ilvl="0" w:tplc="2E245F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F25FC"/>
    <w:multiLevelType w:val="hybridMultilevel"/>
    <w:tmpl w:val="2C1CAD14"/>
    <w:lvl w:ilvl="0" w:tplc="41B654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90552"/>
    <w:multiLevelType w:val="hybridMultilevel"/>
    <w:tmpl w:val="F5B02C3E"/>
    <w:lvl w:ilvl="0" w:tplc="0916ED6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526236"/>
    <w:multiLevelType w:val="hybridMultilevel"/>
    <w:tmpl w:val="7102DFB0"/>
    <w:lvl w:ilvl="0" w:tplc="5A04BC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7763F8"/>
    <w:multiLevelType w:val="hybridMultilevel"/>
    <w:tmpl w:val="3C62CF4A"/>
    <w:lvl w:ilvl="0" w:tplc="C1B001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9A7B66"/>
    <w:multiLevelType w:val="hybridMultilevel"/>
    <w:tmpl w:val="062AF03A"/>
    <w:lvl w:ilvl="0" w:tplc="FF6EBD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67822"/>
    <w:multiLevelType w:val="hybridMultilevel"/>
    <w:tmpl w:val="2D8254E0"/>
    <w:lvl w:ilvl="0" w:tplc="36ACC3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E08AB"/>
    <w:multiLevelType w:val="hybridMultilevel"/>
    <w:tmpl w:val="FB0A4EC0"/>
    <w:lvl w:ilvl="0" w:tplc="7F9C16C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CE5AD1"/>
    <w:multiLevelType w:val="multilevel"/>
    <w:tmpl w:val="AF7227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5BC67A8E"/>
    <w:multiLevelType w:val="hybridMultilevel"/>
    <w:tmpl w:val="855EE47C"/>
    <w:lvl w:ilvl="0" w:tplc="5576E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F76847"/>
    <w:multiLevelType w:val="multilevel"/>
    <w:tmpl w:val="78F6D7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659B294B"/>
    <w:multiLevelType w:val="hybridMultilevel"/>
    <w:tmpl w:val="E59AFDA0"/>
    <w:lvl w:ilvl="0" w:tplc="6CD6F0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27849"/>
    <w:multiLevelType w:val="hybridMultilevel"/>
    <w:tmpl w:val="D0B65B52"/>
    <w:lvl w:ilvl="0" w:tplc="40BA6A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D4785"/>
    <w:multiLevelType w:val="multilevel"/>
    <w:tmpl w:val="F3127D24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0"/>
  </w:num>
  <w:num w:numId="4">
    <w:abstractNumId w:val="5"/>
  </w:num>
  <w:num w:numId="5">
    <w:abstractNumId w:val="10"/>
  </w:num>
  <w:num w:numId="6">
    <w:abstractNumId w:val="22"/>
  </w:num>
  <w:num w:numId="7">
    <w:abstractNumId w:val="6"/>
  </w:num>
  <w:num w:numId="8">
    <w:abstractNumId w:val="11"/>
  </w:num>
  <w:num w:numId="9">
    <w:abstractNumId w:val="12"/>
  </w:num>
  <w:num w:numId="10">
    <w:abstractNumId w:val="25"/>
  </w:num>
  <w:num w:numId="11">
    <w:abstractNumId w:val="16"/>
  </w:num>
  <w:num w:numId="12">
    <w:abstractNumId w:val="19"/>
  </w:num>
  <w:num w:numId="13">
    <w:abstractNumId w:val="18"/>
  </w:num>
  <w:num w:numId="14">
    <w:abstractNumId w:val="17"/>
  </w:num>
  <w:num w:numId="15">
    <w:abstractNumId w:val="4"/>
  </w:num>
  <w:num w:numId="16">
    <w:abstractNumId w:val="24"/>
  </w:num>
  <w:num w:numId="17">
    <w:abstractNumId w:val="8"/>
  </w:num>
  <w:num w:numId="18">
    <w:abstractNumId w:val="13"/>
  </w:num>
  <w:num w:numId="19">
    <w:abstractNumId w:val="15"/>
  </w:num>
  <w:num w:numId="20">
    <w:abstractNumId w:val="20"/>
  </w:num>
  <w:num w:numId="21">
    <w:abstractNumId w:val="14"/>
  </w:num>
  <w:num w:numId="22">
    <w:abstractNumId w:val="2"/>
  </w:num>
  <w:num w:numId="23">
    <w:abstractNumId w:val="23"/>
  </w:num>
  <w:num w:numId="24">
    <w:abstractNumId w:val="21"/>
  </w:num>
  <w:num w:numId="25">
    <w:abstractNumId w:val="7"/>
  </w:num>
  <w:num w:numId="26">
    <w:abstractNumId w:val="9"/>
  </w:num>
  <w:num w:numId="2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1CA2"/>
    <w:rsid w:val="0002329A"/>
    <w:rsid w:val="00025D97"/>
    <w:rsid w:val="00026641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B3E17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15D"/>
    <w:rsid w:val="00107BD4"/>
    <w:rsid w:val="00107C16"/>
    <w:rsid w:val="00120505"/>
    <w:rsid w:val="00124DA5"/>
    <w:rsid w:val="00131745"/>
    <w:rsid w:val="00131B8B"/>
    <w:rsid w:val="0013438F"/>
    <w:rsid w:val="00135584"/>
    <w:rsid w:val="00136BB2"/>
    <w:rsid w:val="00143265"/>
    <w:rsid w:val="00146E40"/>
    <w:rsid w:val="00147D55"/>
    <w:rsid w:val="00154A8B"/>
    <w:rsid w:val="00155344"/>
    <w:rsid w:val="001564A5"/>
    <w:rsid w:val="001576EA"/>
    <w:rsid w:val="00157CF5"/>
    <w:rsid w:val="00164743"/>
    <w:rsid w:val="00166E71"/>
    <w:rsid w:val="0017614A"/>
    <w:rsid w:val="001768AA"/>
    <w:rsid w:val="00183480"/>
    <w:rsid w:val="00196177"/>
    <w:rsid w:val="001A070B"/>
    <w:rsid w:val="001B003C"/>
    <w:rsid w:val="001B02FA"/>
    <w:rsid w:val="001B2037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D685C"/>
    <w:rsid w:val="001E02E7"/>
    <w:rsid w:val="001E0A49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26ED0"/>
    <w:rsid w:val="002310DA"/>
    <w:rsid w:val="002320B9"/>
    <w:rsid w:val="0023237D"/>
    <w:rsid w:val="002358C7"/>
    <w:rsid w:val="00237A4E"/>
    <w:rsid w:val="00241CE9"/>
    <w:rsid w:val="00245B2B"/>
    <w:rsid w:val="00250B8A"/>
    <w:rsid w:val="0025239E"/>
    <w:rsid w:val="00260993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17C7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17332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61F0F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0669E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3EDB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3B20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A3E0D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3EA1"/>
    <w:rsid w:val="006F405A"/>
    <w:rsid w:val="006F48A8"/>
    <w:rsid w:val="006F4B0F"/>
    <w:rsid w:val="006F5682"/>
    <w:rsid w:val="006F670C"/>
    <w:rsid w:val="006F6E18"/>
    <w:rsid w:val="007001F1"/>
    <w:rsid w:val="00703DC8"/>
    <w:rsid w:val="00705999"/>
    <w:rsid w:val="00711319"/>
    <w:rsid w:val="007126E8"/>
    <w:rsid w:val="0071419A"/>
    <w:rsid w:val="0071438D"/>
    <w:rsid w:val="00725134"/>
    <w:rsid w:val="007279BE"/>
    <w:rsid w:val="00730055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5C8"/>
    <w:rsid w:val="00776661"/>
    <w:rsid w:val="00785AF2"/>
    <w:rsid w:val="00786EB2"/>
    <w:rsid w:val="007970A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066B7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4CEC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0A00"/>
    <w:rsid w:val="00992DD9"/>
    <w:rsid w:val="0099425C"/>
    <w:rsid w:val="009944B6"/>
    <w:rsid w:val="00996EA4"/>
    <w:rsid w:val="00997F9F"/>
    <w:rsid w:val="009A001B"/>
    <w:rsid w:val="009A2934"/>
    <w:rsid w:val="009A396B"/>
    <w:rsid w:val="009A5325"/>
    <w:rsid w:val="009A57DC"/>
    <w:rsid w:val="009A681F"/>
    <w:rsid w:val="009B1455"/>
    <w:rsid w:val="009C2120"/>
    <w:rsid w:val="009C3D48"/>
    <w:rsid w:val="009C6325"/>
    <w:rsid w:val="009D055E"/>
    <w:rsid w:val="009D351E"/>
    <w:rsid w:val="009D4C5E"/>
    <w:rsid w:val="009E6067"/>
    <w:rsid w:val="009F1FAA"/>
    <w:rsid w:val="009F7CA2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54C98"/>
    <w:rsid w:val="00A60480"/>
    <w:rsid w:val="00A642DB"/>
    <w:rsid w:val="00A64BD3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C4D9E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370EE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3912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17E06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41A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D54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3183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4FF5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34107"/>
    <w:rsid w:val="00E40717"/>
    <w:rsid w:val="00E43A91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17A"/>
    <w:rsid w:val="00EF7BA2"/>
    <w:rsid w:val="00F01260"/>
    <w:rsid w:val="00F047D8"/>
    <w:rsid w:val="00F0614F"/>
    <w:rsid w:val="00F14814"/>
    <w:rsid w:val="00F14837"/>
    <w:rsid w:val="00F15ABB"/>
    <w:rsid w:val="00F214CD"/>
    <w:rsid w:val="00F25394"/>
    <w:rsid w:val="00F31154"/>
    <w:rsid w:val="00F356D7"/>
    <w:rsid w:val="00F35BDF"/>
    <w:rsid w:val="00F36664"/>
    <w:rsid w:val="00F37CA8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E5948-903E-4C13-A2C6-C0722A6E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5</Pages>
  <Words>1378</Words>
  <Characters>9499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10856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Кремень Артем</cp:lastModifiedBy>
  <cp:revision>33</cp:revision>
  <cp:lastPrinted>2015-01-16T08:47:00Z</cp:lastPrinted>
  <dcterms:created xsi:type="dcterms:W3CDTF">2017-01-13T08:10:00Z</dcterms:created>
  <dcterms:modified xsi:type="dcterms:W3CDTF">2018-02-28T09:52:00Z</dcterms:modified>
</cp:coreProperties>
</file>